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4EF0" w14:textId="00BD5D17" w:rsidR="00753EA6" w:rsidRPr="00EC032C" w:rsidRDefault="007B0042" w:rsidP="00F6302B">
      <w:pPr>
        <w:tabs>
          <w:tab w:val="left" w:pos="720"/>
        </w:tabs>
        <w:spacing w:after="0"/>
        <w:ind w:left="720"/>
        <w:jc w:val="center"/>
        <w:rPr>
          <w:b/>
          <w:bCs/>
          <w:color w:val="000000"/>
          <w:sz w:val="32"/>
          <w:szCs w:val="32"/>
        </w:rPr>
      </w:pPr>
      <w:r w:rsidRPr="00EC032C">
        <w:rPr>
          <w:b/>
          <w:bCs/>
          <w:noProof/>
          <w:color w:val="000000"/>
        </w:rPr>
        <mc:AlternateContent>
          <mc:Choice Requires="wps">
            <w:drawing>
              <wp:anchor distT="0" distB="0" distL="0" distR="0" simplePos="0" relativeHeight="251658240" behindDoc="1" locked="1" layoutInCell="1" allowOverlap="0" wp14:anchorId="4F171857" wp14:editId="440DA290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640080" cy="594360"/>
                <wp:effectExtent l="0" t="0" r="26670" b="1524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96900">
                              <a:moveTo>
                                <a:pt x="583254" y="596900"/>
                              </a:moveTo>
                              <a:lnTo>
                                <a:pt x="610714" y="542981"/>
                              </a:lnTo>
                              <a:lnTo>
                                <a:pt x="631904" y="479364"/>
                              </a:lnTo>
                              <a:lnTo>
                                <a:pt x="641742" y="415267"/>
                              </a:lnTo>
                              <a:lnTo>
                                <a:pt x="642240" y="383397"/>
                              </a:lnTo>
                              <a:lnTo>
                                <a:pt x="639703" y="351837"/>
                              </a:lnTo>
                              <a:lnTo>
                                <a:pt x="625260" y="290217"/>
                              </a:lnTo>
                              <a:lnTo>
                                <a:pt x="597887" y="231556"/>
                              </a:lnTo>
                              <a:lnTo>
                                <a:pt x="557057" y="176998"/>
                              </a:lnTo>
                              <a:lnTo>
                                <a:pt x="502244" y="127690"/>
                              </a:lnTo>
                              <a:lnTo>
                                <a:pt x="469429" y="105362"/>
                              </a:lnTo>
                              <a:lnTo>
                                <a:pt x="432921" y="84777"/>
                              </a:lnTo>
                              <a:lnTo>
                                <a:pt x="392654" y="66077"/>
                              </a:lnTo>
                              <a:lnTo>
                                <a:pt x="348561" y="49406"/>
                              </a:lnTo>
                              <a:lnTo>
                                <a:pt x="300578" y="34906"/>
                              </a:lnTo>
                              <a:lnTo>
                                <a:pt x="248639" y="22722"/>
                              </a:lnTo>
                              <a:lnTo>
                                <a:pt x="192677" y="12996"/>
                              </a:lnTo>
                              <a:lnTo>
                                <a:pt x="132627" y="5871"/>
                              </a:lnTo>
                              <a:lnTo>
                                <a:pt x="68423" y="14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00A8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94D2A" id="Graphic 3" o:spid="_x0000_s1026" style="position:absolute;margin-left:0;margin-top:0;width:50.4pt;height:46.8pt;z-index:-251658240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top" coordsize="642620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Hu/gIAAJwHAAAOAAAAZHJzL2Uyb0RvYy54bWysVV1vmzAUfZ+0/4B4X7GNMRg1qapWnSZV&#10;W6V22rMDJqABZrabpP9+13ZI200i0rQ8kGt8uD733A9fXh2GPtpJbTo1rmJ8geJIjpWqu3G7ir8/&#10;3X0q4shYMdaiV6NcxS/SxFfrjx8u91MpiWpVX0sdgZPRlPtpFbfWTmWSmKqVgzAXapIjbDZKD8LC&#10;Um+TWos9eB/6hCDEkr3S9aRVJY2Bt7dhM157/00jK/utaYy0Ub+KgZv1T+2fG/dM1pei3GoxtV11&#10;pCH+gcUguhEOPbm6FVZEz7r7y9XQVVoZ1diLSg2Japqukj4GiAajP6J5bMUkfSwgjplOMpn/57b6&#10;unucHrSjbqZ7Vf00oEiyn0x52nELc8QcGj04LBCPDl7Fl5OK8mCjCl4yilABWlewlXGaMq9yIsr5&#10;4+rZ2M9SeUdid29sSEI9W6KdreowzqaGVLok9j6JNo4giTqOIImbkMRJWPedY+fMaO+YEEaASeuI&#10;MI6QT9GgdvJJeZx1QWRFSjIaR56uRzkJRPmK68e3eIZRjo94SniB3fmAn1Hz/+S9sxRzFNA05ymj&#10;y2iKc0o8F4ozwvIzaEIoxAfM0yJN+Rk0AFAa0Bku0jNoAscH34QjgpfRGc+LIve+SYqzjC3yzrIc&#10;ZQGNc8Z5sYxGEGVQEBOAz+U06zz/B70p45AUzwSjLGVk0TdNCSfYowua58tBppywY6Ewhs6BaZGx&#10;4JlyipYFSRHoAZPSJZLyM2BCC5aGCAnJyXKAGDgDU+cZE86XaeAU+iWAsyI/U9cFJaGYMOXL0FBF&#10;79MG/eK61DfOqXPh5dvZ0I+uiQn8Mt+4RvVdfdf1vZ9Weru56XW0E26yo+uimKvoHWzSxt4K0wac&#10;3zoVxHHQhdnmptxG1S8POtrDdbCKza9noWUc9V9GmLcQg50NPRub2dC2v1H+hvFjBc58OvwQeorc&#10;8avYwmj8quZpLsp56DkRTlj35aiun61qOjcR/RAOjI4LuAK8Xsfryt0xb9ce9Xqprn8DAAD//wMA&#10;UEsDBBQABgAIAAAAIQDlIpsQ2gAAAAQBAAAPAAAAZHJzL2Rvd25yZXYueG1sTI9BS8NAEIXvgv9h&#10;GcGb3dVCqTGbIsWIBy+tBfU2yU6TYHY2ZLdt/PdOvejlwfCG976XrybfqyONsQts4XZmQBHXwXXc&#10;WNi9lTdLUDEhO+wDk4VvirAqLi9yzFw48YaO29QoCeGYoYU2pSHTOtYteYyzMBCLtw+jxyTn2Gg3&#10;4knCfa/vjFlojx1LQ4sDrVuqv7YHb6F+3bnwsi6fPpcf1fMG3bvZl3Nrr6+mxwdQiab09wxnfEGH&#10;QpiqcGAXVW9BhqRfPXvGyIzKwv18AbrI9X/44gcAAP//AwBQSwECLQAUAAYACAAAACEAtoM4kv4A&#10;AADhAQAAEwAAAAAAAAAAAAAAAAAAAAAAW0NvbnRlbnRfVHlwZXNdLnhtbFBLAQItABQABgAIAAAA&#10;IQA4/SH/1gAAAJQBAAALAAAAAAAAAAAAAAAAAC8BAABfcmVscy8ucmVsc1BLAQItABQABgAIAAAA&#10;IQDnHhHu/gIAAJwHAAAOAAAAAAAAAAAAAAAAAC4CAABkcnMvZTJvRG9jLnhtbFBLAQItABQABgAI&#10;AAAAIQDlIpsQ2gAAAAQBAAAPAAAAAAAAAAAAAAAAAFgFAABkcnMvZG93bnJldi54bWxQSwUGAAAA&#10;AAQABADzAAAAXwYAAAAA&#10;" o:allowoverlap="f" path="m583254,596900r27460,-53919l631904,479364r9838,-64097l642240,383397r-2537,-31560l625260,290217,597887,231556,557057,176998,502244,127690,469429,105362,432921,84777,392654,66077,348561,49406,300578,34906,248639,22722,192677,12996,132627,5871,68423,1491,,e" filled="f" strokecolor="#00a888" strokeweight="1.75pt">
                <v:path arrowok="t"/>
                <w10:wrap type="topAndBottom" anchorx="page" anchory="page"/>
                <w10:anchorlock/>
              </v:shape>
            </w:pict>
          </mc:Fallback>
        </mc:AlternateContent>
      </w:r>
      <w:r w:rsidR="00EC032C" w:rsidRPr="00EC032C">
        <w:rPr>
          <w:b/>
          <w:bCs/>
          <w:color w:val="000000"/>
          <w:sz w:val="32"/>
          <w:szCs w:val="32"/>
        </w:rPr>
        <w:t xml:space="preserve">Community Funds, Inc. – </w:t>
      </w:r>
      <w:r w:rsidR="00AA17E8">
        <w:rPr>
          <w:b/>
          <w:bCs/>
          <w:color w:val="000000"/>
          <w:sz w:val="32"/>
          <w:szCs w:val="32"/>
        </w:rPr>
        <w:t>Q</w:t>
      </w:r>
      <w:r w:rsidR="006438B2">
        <w:rPr>
          <w:b/>
          <w:bCs/>
          <w:color w:val="000000"/>
          <w:sz w:val="32"/>
          <w:szCs w:val="32"/>
        </w:rPr>
        <w:t>1</w:t>
      </w:r>
      <w:r w:rsidR="00EC032C" w:rsidRPr="00EC032C">
        <w:rPr>
          <w:b/>
          <w:bCs/>
          <w:color w:val="000000"/>
          <w:sz w:val="32"/>
          <w:szCs w:val="32"/>
        </w:rPr>
        <w:t xml:space="preserve"> 202</w:t>
      </w:r>
      <w:r w:rsidR="006438B2">
        <w:rPr>
          <w:b/>
          <w:bCs/>
          <w:color w:val="000000"/>
          <w:sz w:val="32"/>
          <w:szCs w:val="32"/>
        </w:rPr>
        <w:t>6</w:t>
      </w:r>
      <w:r w:rsidR="00EC032C" w:rsidRPr="00EC032C">
        <w:rPr>
          <w:b/>
          <w:bCs/>
          <w:color w:val="000000"/>
          <w:sz w:val="32"/>
          <w:szCs w:val="32"/>
        </w:rPr>
        <w:t xml:space="preserve"> Performance</w:t>
      </w:r>
    </w:p>
    <w:p w14:paraId="0B08C76F" w14:textId="2DBEA975" w:rsidR="00EC032C" w:rsidRDefault="00EC032C" w:rsidP="00F6302B">
      <w:pPr>
        <w:tabs>
          <w:tab w:val="left" w:pos="720"/>
        </w:tabs>
        <w:spacing w:after="0"/>
        <w:ind w:left="720"/>
        <w:jc w:val="center"/>
        <w:rPr>
          <w:b/>
          <w:bCs/>
          <w:color w:val="000000"/>
        </w:rPr>
      </w:pPr>
      <w:r w:rsidRPr="00EC032C">
        <w:rPr>
          <w:b/>
          <w:bCs/>
          <w:color w:val="000000"/>
        </w:rPr>
        <w:t>(All Performance Data is Net of Fees)</w:t>
      </w:r>
    </w:p>
    <w:p w14:paraId="6D118980" w14:textId="77777777" w:rsidR="0036766A" w:rsidRDefault="0036766A" w:rsidP="00F6302B">
      <w:pPr>
        <w:tabs>
          <w:tab w:val="left" w:pos="720"/>
        </w:tabs>
        <w:spacing w:after="0"/>
        <w:jc w:val="both"/>
        <w:rPr>
          <w:b/>
          <w:bCs/>
          <w:color w:val="000000"/>
        </w:rPr>
      </w:pPr>
    </w:p>
    <w:p w14:paraId="2A383C99" w14:textId="0B19850A" w:rsidR="00EC032C" w:rsidRPr="00F6302B" w:rsidRDefault="00EC032C" w:rsidP="00F6302B">
      <w:pPr>
        <w:tabs>
          <w:tab w:val="left" w:pos="720"/>
        </w:tabs>
        <w:spacing w:after="0"/>
        <w:jc w:val="both"/>
        <w:rPr>
          <w:color w:val="000000"/>
        </w:rPr>
      </w:pPr>
      <w:r w:rsidRPr="00F6302B">
        <w:rPr>
          <w:color w:val="000000"/>
        </w:rPr>
        <w:t>All Options are listed in order of each fund’s risk profile, from least to most</w:t>
      </w:r>
    </w:p>
    <w:p w14:paraId="5E9743EC" w14:textId="77777777" w:rsidR="0036766A" w:rsidRPr="00F6302B" w:rsidRDefault="0036766A" w:rsidP="00F6302B">
      <w:pPr>
        <w:pBdr>
          <w:bottom w:val="single" w:sz="6" w:space="1" w:color="auto"/>
        </w:pBdr>
        <w:spacing w:after="0" w:line="276" w:lineRule="auto"/>
        <w:jc w:val="both"/>
        <w:rPr>
          <w:color w:val="000000"/>
        </w:rPr>
      </w:pPr>
    </w:p>
    <w:p w14:paraId="1339417F" w14:textId="77777777" w:rsidR="0036766A" w:rsidRPr="00F6302B" w:rsidRDefault="0036766A" w:rsidP="00F6302B">
      <w:pPr>
        <w:spacing w:after="0" w:line="276" w:lineRule="auto"/>
        <w:jc w:val="both"/>
        <w:rPr>
          <w:color w:val="000000"/>
        </w:rPr>
      </w:pPr>
    </w:p>
    <w:p w14:paraId="562C103F" w14:textId="6C159670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  <w:r w:rsidRPr="00F6302B">
        <w:rPr>
          <w:b/>
          <w:bCs/>
        </w:rPr>
        <w:t>Vanguard Federal Money Market Fund (Fund No. 0033 – VMFXX)</w:t>
      </w:r>
    </w:p>
    <w:p w14:paraId="4D9ACB18" w14:textId="6BDD3E0D" w:rsidR="007D0FE3" w:rsidRPr="00F6302B" w:rsidRDefault="007D0FE3" w:rsidP="00F6302B">
      <w:pPr>
        <w:spacing w:after="0" w:line="276" w:lineRule="auto"/>
        <w:jc w:val="both"/>
      </w:pPr>
      <w:r w:rsidRPr="00F6302B">
        <w:t xml:space="preserve">7 Day SEC Yield: </w:t>
      </w:r>
      <w:r w:rsidR="0090299F">
        <w:t>3.5</w:t>
      </w:r>
      <w:r w:rsidR="00F52436">
        <w:t>6</w:t>
      </w:r>
      <w:r w:rsidR="002A37FD" w:rsidRPr="00F6302B">
        <w:t xml:space="preserve">% as of </w:t>
      </w:r>
      <w:r w:rsidR="00651700">
        <w:t>0</w:t>
      </w:r>
      <w:r w:rsidR="00F52436">
        <w:t>6/</w:t>
      </w:r>
      <w:r w:rsidR="00E22394">
        <w:t>09/2026</w:t>
      </w:r>
    </w:p>
    <w:p w14:paraId="19B33A45" w14:textId="18E99C32" w:rsidR="0036766A" w:rsidRPr="00F6302B" w:rsidRDefault="00AE7565" w:rsidP="00F6302B">
      <w:pPr>
        <w:spacing w:after="0" w:line="276" w:lineRule="auto"/>
        <w:jc w:val="both"/>
      </w:pPr>
      <w:r w:rsidRPr="00F6302B">
        <w:t>Expense Ratio: 0.1</w:t>
      </w:r>
      <w:r w:rsidR="00AE2508">
        <w:t>1</w:t>
      </w:r>
      <w:r w:rsidRPr="00F6302B">
        <w:t xml:space="preserve">% as of </w:t>
      </w:r>
      <w:r w:rsidR="00AB2BD8">
        <w:t>12</w:t>
      </w:r>
      <w:r w:rsidR="00AF60A1" w:rsidRPr="00F6302B">
        <w:t>/</w:t>
      </w:r>
      <w:r w:rsidR="00AE2508">
        <w:t>19</w:t>
      </w:r>
      <w:r w:rsidR="00AF60A1" w:rsidRPr="00F6302B">
        <w:t>/202</w:t>
      </w:r>
      <w:r w:rsidR="00AE2508">
        <w:t>5</w:t>
      </w:r>
    </w:p>
    <w:p w14:paraId="73ECFCD9" w14:textId="77777777" w:rsidR="007D0FE3" w:rsidRPr="00F6302B" w:rsidRDefault="007D0FE3" w:rsidP="00F6302B">
      <w:pPr>
        <w:spacing w:after="0" w:line="276" w:lineRule="auto"/>
        <w:jc w:val="both"/>
        <w:rPr>
          <w:b/>
          <w:bCs/>
        </w:rPr>
      </w:pPr>
    </w:p>
    <w:p w14:paraId="0BCF265C" w14:textId="29936857" w:rsidR="0036766A" w:rsidRPr="00F6302B" w:rsidRDefault="0036766A" w:rsidP="00F6302B">
      <w:pPr>
        <w:spacing w:after="0" w:line="276" w:lineRule="auto"/>
        <w:jc w:val="both"/>
      </w:pPr>
      <w:r w:rsidRPr="00F6302B">
        <w:t xml:space="preserve">The </w:t>
      </w:r>
      <w:r w:rsidR="00845D79">
        <w:t xml:space="preserve">Vanguard Federal </w:t>
      </w:r>
      <w:r w:rsidRPr="00F6302B">
        <w:t>Money Market Fund is chosen by donors who expect substantial near-term payouts or for those who would like a liquid allocation within their investments.</w:t>
      </w:r>
      <w:bookmarkStart w:id="0" w:name="_Hlk171516121"/>
    </w:p>
    <w:p w14:paraId="060890D1" w14:textId="77777777" w:rsidR="00AC36BA" w:rsidRDefault="00AC36BA" w:rsidP="00F6302B">
      <w:pPr>
        <w:spacing w:after="0" w:line="276" w:lineRule="auto"/>
        <w:jc w:val="both"/>
        <w:rPr>
          <w:b/>
          <w:bCs/>
        </w:rPr>
      </w:pPr>
    </w:p>
    <w:p w14:paraId="7441C4AF" w14:textId="16A8FC21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  <w:r w:rsidRPr="00F6302B">
        <w:rPr>
          <w:b/>
          <w:bCs/>
        </w:rPr>
        <w:t xml:space="preserve">Performance as of </w:t>
      </w:r>
      <w:r w:rsidR="00651700">
        <w:rPr>
          <w:b/>
          <w:bCs/>
        </w:rPr>
        <w:t>0</w:t>
      </w:r>
      <w:r w:rsidR="00E22394">
        <w:rPr>
          <w:b/>
          <w:bCs/>
        </w:rPr>
        <w:t>3</w:t>
      </w:r>
      <w:r w:rsidRPr="00F6302B">
        <w:rPr>
          <w:b/>
          <w:bCs/>
        </w:rPr>
        <w:t>/3</w:t>
      </w:r>
      <w:r w:rsidR="004C10EE">
        <w:rPr>
          <w:b/>
          <w:bCs/>
        </w:rPr>
        <w:t>1</w:t>
      </w:r>
      <w:r w:rsidRPr="00F6302B">
        <w:rPr>
          <w:b/>
          <w:bCs/>
        </w:rPr>
        <w:t>/202</w:t>
      </w:r>
      <w:r w:rsidR="00E22394">
        <w:rPr>
          <w:b/>
          <w:bCs/>
        </w:rPr>
        <w:t>6</w:t>
      </w:r>
    </w:p>
    <w:tbl>
      <w:tblPr>
        <w:tblStyle w:val="TableGrid"/>
        <w:tblW w:w="3855" w:type="pct"/>
        <w:tblLook w:val="04A0" w:firstRow="1" w:lastRow="0" w:firstColumn="1" w:lastColumn="0" w:noHBand="0" w:noVBand="1"/>
      </w:tblPr>
      <w:tblGrid>
        <w:gridCol w:w="1365"/>
        <w:gridCol w:w="972"/>
        <w:gridCol w:w="976"/>
        <w:gridCol w:w="974"/>
        <w:gridCol w:w="974"/>
        <w:gridCol w:w="974"/>
        <w:gridCol w:w="974"/>
      </w:tblGrid>
      <w:tr w:rsidR="0036766A" w:rsidRPr="00F6302B" w14:paraId="26913CCF" w14:textId="77777777">
        <w:tc>
          <w:tcPr>
            <w:tcW w:w="875" w:type="pct"/>
          </w:tcPr>
          <w:p w14:paraId="1A236CE1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pct"/>
          </w:tcPr>
          <w:p w14:paraId="5C14BE97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QTR</w:t>
            </w:r>
          </w:p>
        </w:tc>
        <w:tc>
          <w:tcPr>
            <w:tcW w:w="689" w:type="pct"/>
          </w:tcPr>
          <w:p w14:paraId="22E0924E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YTD</w:t>
            </w:r>
          </w:p>
        </w:tc>
        <w:tc>
          <w:tcPr>
            <w:tcW w:w="687" w:type="pct"/>
          </w:tcPr>
          <w:p w14:paraId="1C597FF2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 Year</w:t>
            </w:r>
          </w:p>
        </w:tc>
        <w:tc>
          <w:tcPr>
            <w:tcW w:w="687" w:type="pct"/>
          </w:tcPr>
          <w:p w14:paraId="308E36F0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3 Year</w:t>
            </w:r>
          </w:p>
        </w:tc>
        <w:tc>
          <w:tcPr>
            <w:tcW w:w="687" w:type="pct"/>
          </w:tcPr>
          <w:p w14:paraId="5ADE6EBA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5 Year</w:t>
            </w:r>
          </w:p>
        </w:tc>
        <w:tc>
          <w:tcPr>
            <w:tcW w:w="687" w:type="pct"/>
          </w:tcPr>
          <w:p w14:paraId="224AB1BC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10 Year</w:t>
            </w:r>
          </w:p>
        </w:tc>
      </w:tr>
      <w:tr w:rsidR="0036766A" w:rsidRPr="00F6302B" w14:paraId="18E965E3" w14:textId="77777777">
        <w:tc>
          <w:tcPr>
            <w:tcW w:w="875" w:type="pct"/>
          </w:tcPr>
          <w:p w14:paraId="2CD69DED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VMFXX</w:t>
            </w:r>
          </w:p>
        </w:tc>
        <w:tc>
          <w:tcPr>
            <w:tcW w:w="686" w:type="pct"/>
          </w:tcPr>
          <w:p w14:paraId="407566F0" w14:textId="787436C8" w:rsidR="0036766A" w:rsidRPr="00F6302B" w:rsidRDefault="00797710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440682">
              <w:rPr>
                <w:sz w:val="22"/>
                <w:szCs w:val="22"/>
              </w:rPr>
              <w:t>89%</w:t>
            </w:r>
          </w:p>
        </w:tc>
        <w:tc>
          <w:tcPr>
            <w:tcW w:w="689" w:type="pct"/>
          </w:tcPr>
          <w:p w14:paraId="72FAD6DB" w14:textId="13BD9341" w:rsidR="0036766A" w:rsidRPr="00F6302B" w:rsidRDefault="006E3B9C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0.89%</w:t>
            </w:r>
          </w:p>
        </w:tc>
        <w:tc>
          <w:tcPr>
            <w:tcW w:w="687" w:type="pct"/>
          </w:tcPr>
          <w:p w14:paraId="1C118F50" w14:textId="36DD8F51" w:rsidR="0036766A" w:rsidRPr="00F6302B" w:rsidRDefault="006E3B9C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4.05%</w:t>
            </w:r>
          </w:p>
        </w:tc>
        <w:tc>
          <w:tcPr>
            <w:tcW w:w="687" w:type="pct"/>
          </w:tcPr>
          <w:p w14:paraId="68B3BE5C" w14:textId="6C4E2622" w:rsidR="0036766A" w:rsidRPr="00F6302B" w:rsidRDefault="006E3B9C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4.77%</w:t>
            </w:r>
          </w:p>
        </w:tc>
        <w:tc>
          <w:tcPr>
            <w:tcW w:w="687" w:type="pct"/>
          </w:tcPr>
          <w:p w14:paraId="529AC881" w14:textId="174A0C1E" w:rsidR="0036766A" w:rsidRPr="00F6302B" w:rsidRDefault="006E3B9C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3.38%</w:t>
            </w:r>
          </w:p>
        </w:tc>
        <w:tc>
          <w:tcPr>
            <w:tcW w:w="687" w:type="pct"/>
          </w:tcPr>
          <w:p w14:paraId="170AEB16" w14:textId="1D4363AE" w:rsidR="0036766A" w:rsidRPr="00F6302B" w:rsidRDefault="006E3B9C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2.23%</w:t>
            </w:r>
          </w:p>
        </w:tc>
      </w:tr>
      <w:tr w:rsidR="0036766A" w:rsidRPr="00F6302B" w14:paraId="4C294BE1" w14:textId="77777777">
        <w:tc>
          <w:tcPr>
            <w:tcW w:w="875" w:type="pct"/>
          </w:tcPr>
          <w:p w14:paraId="4CF68676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Benchmark</w:t>
            </w:r>
          </w:p>
        </w:tc>
        <w:tc>
          <w:tcPr>
            <w:tcW w:w="686" w:type="pct"/>
          </w:tcPr>
          <w:p w14:paraId="28914445" w14:textId="0D3A3CA9" w:rsidR="0036766A" w:rsidRPr="00F6302B" w:rsidRDefault="006E3B9C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0.78%</w:t>
            </w:r>
          </w:p>
        </w:tc>
        <w:tc>
          <w:tcPr>
            <w:tcW w:w="689" w:type="pct"/>
          </w:tcPr>
          <w:p w14:paraId="67F4D804" w14:textId="5714D796" w:rsidR="0036766A" w:rsidRPr="00F6302B" w:rsidRDefault="006E3B9C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0.78%</w:t>
            </w:r>
          </w:p>
        </w:tc>
        <w:tc>
          <w:tcPr>
            <w:tcW w:w="687" w:type="pct"/>
          </w:tcPr>
          <w:p w14:paraId="37100033" w14:textId="61DD1353" w:rsidR="0036766A" w:rsidRPr="00F6302B" w:rsidRDefault="001B6A7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3.59%</w:t>
            </w:r>
          </w:p>
        </w:tc>
        <w:tc>
          <w:tcPr>
            <w:tcW w:w="687" w:type="pct"/>
          </w:tcPr>
          <w:p w14:paraId="7BE469D5" w14:textId="2F67E992" w:rsidR="0036766A" w:rsidRPr="00F6302B" w:rsidRDefault="001B6A7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4.30%</w:t>
            </w:r>
          </w:p>
        </w:tc>
        <w:tc>
          <w:tcPr>
            <w:tcW w:w="687" w:type="pct"/>
          </w:tcPr>
          <w:p w14:paraId="04BD1142" w14:textId="44847DE6" w:rsidR="0036766A" w:rsidRPr="00F6302B" w:rsidRDefault="001B6A7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3.02%</w:t>
            </w:r>
          </w:p>
        </w:tc>
        <w:tc>
          <w:tcPr>
            <w:tcW w:w="687" w:type="pct"/>
          </w:tcPr>
          <w:p w14:paraId="644BD4A3" w14:textId="2E945F7B" w:rsidR="0036766A" w:rsidRPr="00F6302B" w:rsidRDefault="001B6A7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1.84%</w:t>
            </w:r>
          </w:p>
        </w:tc>
      </w:tr>
    </w:tbl>
    <w:p w14:paraId="6750C855" w14:textId="77777777" w:rsidR="0036766A" w:rsidRPr="00F6302B" w:rsidRDefault="0036766A" w:rsidP="00F6302B">
      <w:pPr>
        <w:spacing w:after="0" w:line="276" w:lineRule="auto"/>
        <w:jc w:val="both"/>
      </w:pPr>
      <w:r w:rsidRPr="00F6302B">
        <w:t>Benchmark: US Gov’t Money Market Funds Average</w:t>
      </w:r>
    </w:p>
    <w:bookmarkEnd w:id="0"/>
    <w:p w14:paraId="21225DAA" w14:textId="77777777" w:rsidR="0036766A" w:rsidRPr="00F6302B" w:rsidRDefault="0036766A" w:rsidP="00F6302B">
      <w:pPr>
        <w:pBdr>
          <w:bottom w:val="single" w:sz="6" w:space="1" w:color="auto"/>
        </w:pBdr>
        <w:spacing w:after="0" w:line="276" w:lineRule="auto"/>
        <w:jc w:val="both"/>
      </w:pPr>
    </w:p>
    <w:p w14:paraId="3E70151B" w14:textId="3CDA8AF7" w:rsidR="0036766A" w:rsidRPr="00F6302B" w:rsidRDefault="0036766A" w:rsidP="00F6302B">
      <w:pPr>
        <w:pBdr>
          <w:bottom w:val="single" w:sz="6" w:space="1" w:color="auto"/>
        </w:pBdr>
        <w:spacing w:after="0" w:line="276" w:lineRule="auto"/>
        <w:jc w:val="both"/>
      </w:pPr>
      <w:hyperlink r:id="rId9" w:history="1">
        <w:r w:rsidRPr="00F6302B">
          <w:rPr>
            <w:rStyle w:val="Hyperlink"/>
          </w:rPr>
          <w:t>Click here for more information:</w:t>
        </w:r>
      </w:hyperlink>
    </w:p>
    <w:p w14:paraId="6CE6782F" w14:textId="77777777" w:rsidR="0036766A" w:rsidRPr="00F6302B" w:rsidRDefault="0036766A" w:rsidP="00F6302B">
      <w:pPr>
        <w:pBdr>
          <w:bottom w:val="single" w:sz="6" w:space="1" w:color="auto"/>
        </w:pBdr>
        <w:spacing w:after="0" w:line="276" w:lineRule="auto"/>
        <w:jc w:val="both"/>
      </w:pPr>
    </w:p>
    <w:p w14:paraId="609D98EF" w14:textId="77777777" w:rsidR="0036766A" w:rsidRPr="00F6302B" w:rsidRDefault="0036766A" w:rsidP="00F6302B">
      <w:pPr>
        <w:spacing w:after="0" w:line="276" w:lineRule="auto"/>
        <w:jc w:val="both"/>
      </w:pPr>
    </w:p>
    <w:p w14:paraId="1900FE64" w14:textId="3FC8B8DE" w:rsidR="0036766A" w:rsidRPr="00F6302B" w:rsidRDefault="0036766A" w:rsidP="00F6302B">
      <w:pPr>
        <w:spacing w:after="0"/>
        <w:jc w:val="both"/>
        <w:rPr>
          <w:b/>
          <w:bCs/>
        </w:rPr>
      </w:pPr>
      <w:r w:rsidRPr="00F6302B">
        <w:rPr>
          <w:b/>
          <w:bCs/>
        </w:rPr>
        <w:t xml:space="preserve">Vanguard </w:t>
      </w:r>
      <w:proofErr w:type="spellStart"/>
      <w:r w:rsidRPr="00F6302B">
        <w:rPr>
          <w:b/>
          <w:bCs/>
        </w:rPr>
        <w:t>LifeStrategy</w:t>
      </w:r>
      <w:proofErr w:type="spellEnd"/>
      <w:r w:rsidRPr="00F6302B">
        <w:rPr>
          <w:b/>
          <w:bCs/>
        </w:rPr>
        <w:t xml:space="preserve"> Conservative Growth Fund (Fund No. 0724 – VSCGX) </w:t>
      </w:r>
    </w:p>
    <w:p w14:paraId="570FEC09" w14:textId="21A25E2E" w:rsidR="004304E1" w:rsidRDefault="00BE413C" w:rsidP="00F6302B">
      <w:pPr>
        <w:spacing w:after="0" w:line="276" w:lineRule="auto"/>
        <w:jc w:val="both"/>
      </w:pPr>
      <w:r w:rsidRPr="00F6302B">
        <w:t>30 Day SEC Yield: 3.</w:t>
      </w:r>
      <w:r w:rsidR="003C3DE1">
        <w:t>0</w:t>
      </w:r>
      <w:r w:rsidR="00651700">
        <w:t>0</w:t>
      </w:r>
      <w:r w:rsidR="006D606D">
        <w:t>%</w:t>
      </w:r>
      <w:r w:rsidRPr="00F6302B">
        <w:t xml:space="preserve"> as of </w:t>
      </w:r>
      <w:r w:rsidR="00651700">
        <w:t>05/31/2026</w:t>
      </w:r>
    </w:p>
    <w:p w14:paraId="4A968527" w14:textId="51E2218C" w:rsidR="005A145E" w:rsidRPr="00F6302B" w:rsidRDefault="005A145E" w:rsidP="00F6302B">
      <w:pPr>
        <w:spacing w:after="0" w:line="276" w:lineRule="auto"/>
        <w:jc w:val="both"/>
      </w:pPr>
      <w:r>
        <w:t>Dividend Yield: 1.</w:t>
      </w:r>
      <w:r w:rsidR="00123415">
        <w:t>6</w:t>
      </w:r>
      <w:r w:rsidR="00D87CA8">
        <w:t>2</w:t>
      </w:r>
      <w:r>
        <w:t xml:space="preserve">% as of </w:t>
      </w:r>
      <w:r w:rsidR="00651700">
        <w:t>04</w:t>
      </w:r>
      <w:r w:rsidR="006D606D">
        <w:t>/3</w:t>
      </w:r>
      <w:r w:rsidR="00D87CA8">
        <w:t>0</w:t>
      </w:r>
      <w:r w:rsidR="006D606D">
        <w:t>/2026</w:t>
      </w:r>
    </w:p>
    <w:p w14:paraId="05BFBA41" w14:textId="4782072B" w:rsidR="0045433B" w:rsidRPr="00F6302B" w:rsidRDefault="0045433B" w:rsidP="00F6302B">
      <w:pPr>
        <w:spacing w:after="0" w:line="276" w:lineRule="auto"/>
        <w:jc w:val="both"/>
      </w:pPr>
      <w:r w:rsidRPr="00F6302B">
        <w:t>Expense Ratio: 0.1</w:t>
      </w:r>
      <w:r w:rsidR="006A6D35">
        <w:t>0</w:t>
      </w:r>
      <w:r w:rsidRPr="00F6302B">
        <w:t xml:space="preserve">% as of </w:t>
      </w:r>
      <w:r w:rsidR="004B4FA4" w:rsidRPr="00F6302B">
        <w:t>2/</w:t>
      </w:r>
      <w:r w:rsidR="006A6D35">
        <w:t>27/2026</w:t>
      </w:r>
    </w:p>
    <w:p w14:paraId="54C5BD27" w14:textId="77777777" w:rsidR="004304E1" w:rsidRPr="00F6302B" w:rsidRDefault="004304E1" w:rsidP="00F6302B">
      <w:pPr>
        <w:spacing w:after="0" w:line="276" w:lineRule="auto"/>
        <w:jc w:val="both"/>
      </w:pPr>
    </w:p>
    <w:p w14:paraId="12B063F2" w14:textId="28CB42D5" w:rsidR="0036766A" w:rsidRPr="00F6302B" w:rsidRDefault="0036766A" w:rsidP="00F6302B">
      <w:pPr>
        <w:spacing w:after="0" w:line="276" w:lineRule="auto"/>
        <w:jc w:val="both"/>
      </w:pPr>
      <w:r w:rsidRPr="00F6302B">
        <w:t xml:space="preserve">The </w:t>
      </w:r>
      <w:r w:rsidR="00DA26D9">
        <w:t xml:space="preserve">Vanguard </w:t>
      </w:r>
      <w:proofErr w:type="spellStart"/>
      <w:r w:rsidR="00DA26D9">
        <w:t>LifeStrategy</w:t>
      </w:r>
      <w:proofErr w:type="spellEnd"/>
      <w:r w:rsidR="00DA26D9">
        <w:t xml:space="preserve"> Conservative Growth Fund</w:t>
      </w:r>
      <w:r w:rsidRPr="00F6302B">
        <w:t xml:space="preserve"> offers donors exposure to a mix of bonds and equities that generates current income while protecting principal.  Th</w:t>
      </w:r>
      <w:r w:rsidR="00721042">
        <w:t>is</w:t>
      </w:r>
      <w:r w:rsidRPr="00F6302B">
        <w:t xml:space="preserve"> </w:t>
      </w:r>
      <w:r w:rsidR="003847C7">
        <w:t>F</w:t>
      </w:r>
      <w:r w:rsidRPr="00F6302B">
        <w:t xml:space="preserve">und is typically selected by donors who have a payout time horizon of 10 – 15 years or less. </w:t>
      </w:r>
      <w:r w:rsidR="003847C7">
        <w:t xml:space="preserve">The Fund </w:t>
      </w:r>
      <w:r w:rsidR="003C5C78">
        <w:t>inves</w:t>
      </w:r>
      <w:r w:rsidR="009C4258">
        <w:t xml:space="preserve">t </w:t>
      </w:r>
      <w:r w:rsidR="006D387E">
        <w:t xml:space="preserve">in four other Vanguard </w:t>
      </w:r>
      <w:r w:rsidR="00C11E63">
        <w:t>F</w:t>
      </w:r>
      <w:r w:rsidR="006D387E">
        <w:t>unds</w:t>
      </w:r>
      <w:r w:rsidRPr="00F6302B">
        <w:t xml:space="preserve"> that ha</w:t>
      </w:r>
      <w:r w:rsidR="00C11E63">
        <w:t>ve</w:t>
      </w:r>
      <w:r w:rsidRPr="00F6302B">
        <w:t xml:space="preserve"> a 60% allocation to U.S. and international fixed income, and a 40% allocation to U.S. and international equities. </w:t>
      </w:r>
    </w:p>
    <w:p w14:paraId="13F7082B" w14:textId="77777777" w:rsidR="0036766A" w:rsidRDefault="0036766A" w:rsidP="00F6302B">
      <w:pPr>
        <w:spacing w:after="0" w:line="276" w:lineRule="auto"/>
        <w:jc w:val="both"/>
      </w:pPr>
    </w:p>
    <w:p w14:paraId="110224E5" w14:textId="77777777" w:rsidR="00D43497" w:rsidRDefault="00D43497" w:rsidP="00F6302B">
      <w:pPr>
        <w:spacing w:after="0" w:line="276" w:lineRule="auto"/>
        <w:jc w:val="both"/>
      </w:pPr>
    </w:p>
    <w:p w14:paraId="437C4E1E" w14:textId="77777777" w:rsidR="00D43497" w:rsidRDefault="00D43497" w:rsidP="00F6302B">
      <w:pPr>
        <w:spacing w:after="0" w:line="276" w:lineRule="auto"/>
        <w:jc w:val="both"/>
      </w:pPr>
    </w:p>
    <w:p w14:paraId="77B55A54" w14:textId="77777777" w:rsidR="00D43497" w:rsidRDefault="00D43497" w:rsidP="00F6302B">
      <w:pPr>
        <w:spacing w:after="0" w:line="276" w:lineRule="auto"/>
        <w:jc w:val="both"/>
      </w:pPr>
    </w:p>
    <w:p w14:paraId="467C4D5E" w14:textId="77777777" w:rsidR="00D43497" w:rsidRPr="00F6302B" w:rsidRDefault="00D43497" w:rsidP="00F6302B">
      <w:pPr>
        <w:spacing w:after="0" w:line="276" w:lineRule="auto"/>
        <w:jc w:val="both"/>
      </w:pPr>
    </w:p>
    <w:p w14:paraId="07011784" w14:textId="36F3E3B4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  <w:r w:rsidRPr="00F6302B">
        <w:rPr>
          <w:b/>
          <w:bCs/>
        </w:rPr>
        <w:t xml:space="preserve">Performance as of </w:t>
      </w:r>
      <w:r w:rsidR="0061326A">
        <w:rPr>
          <w:b/>
          <w:bCs/>
        </w:rPr>
        <w:t>03/31/2026</w:t>
      </w:r>
    </w:p>
    <w:tbl>
      <w:tblPr>
        <w:tblStyle w:val="TableGrid"/>
        <w:tblW w:w="3860" w:type="pct"/>
        <w:tblLook w:val="04A0" w:firstRow="1" w:lastRow="0" w:firstColumn="1" w:lastColumn="0" w:noHBand="0" w:noVBand="1"/>
      </w:tblPr>
      <w:tblGrid>
        <w:gridCol w:w="1365"/>
        <w:gridCol w:w="967"/>
        <w:gridCol w:w="967"/>
        <w:gridCol w:w="1015"/>
        <w:gridCol w:w="968"/>
        <w:gridCol w:w="968"/>
        <w:gridCol w:w="968"/>
      </w:tblGrid>
      <w:tr w:rsidR="0036766A" w:rsidRPr="00F6302B" w14:paraId="07E2DF0D" w14:textId="77777777">
        <w:tc>
          <w:tcPr>
            <w:tcW w:w="875" w:type="pct"/>
          </w:tcPr>
          <w:p w14:paraId="4FEFD7C7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pct"/>
          </w:tcPr>
          <w:p w14:paraId="3F35C94E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QTR</w:t>
            </w:r>
          </w:p>
        </w:tc>
        <w:tc>
          <w:tcPr>
            <w:tcW w:w="682" w:type="pct"/>
          </w:tcPr>
          <w:p w14:paraId="0D789147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YTD</w:t>
            </w:r>
          </w:p>
        </w:tc>
        <w:tc>
          <w:tcPr>
            <w:tcW w:w="715" w:type="pct"/>
          </w:tcPr>
          <w:p w14:paraId="6569FF65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 Year</w:t>
            </w:r>
          </w:p>
        </w:tc>
        <w:tc>
          <w:tcPr>
            <w:tcW w:w="682" w:type="pct"/>
          </w:tcPr>
          <w:p w14:paraId="2E77C525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3 Year</w:t>
            </w:r>
          </w:p>
        </w:tc>
        <w:tc>
          <w:tcPr>
            <w:tcW w:w="682" w:type="pct"/>
          </w:tcPr>
          <w:p w14:paraId="43D2F528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5 Year</w:t>
            </w:r>
          </w:p>
        </w:tc>
        <w:tc>
          <w:tcPr>
            <w:tcW w:w="682" w:type="pct"/>
          </w:tcPr>
          <w:p w14:paraId="0F13DBC5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10 Year</w:t>
            </w:r>
          </w:p>
        </w:tc>
      </w:tr>
      <w:tr w:rsidR="0036766A" w:rsidRPr="00F6302B" w14:paraId="54AE6F5A" w14:textId="77777777">
        <w:tc>
          <w:tcPr>
            <w:tcW w:w="875" w:type="pct"/>
          </w:tcPr>
          <w:p w14:paraId="259397F8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VSCGX</w:t>
            </w:r>
          </w:p>
        </w:tc>
        <w:tc>
          <w:tcPr>
            <w:tcW w:w="682" w:type="pct"/>
          </w:tcPr>
          <w:p w14:paraId="2A39B8F2" w14:textId="2EDF45AE" w:rsidR="0036766A" w:rsidRPr="00F6302B" w:rsidRDefault="00D87CA8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-0.76</w:t>
            </w:r>
            <w:r w:rsidR="007E7B05">
              <w:rPr>
                <w:sz w:val="22"/>
                <w:szCs w:val="22"/>
              </w:rPr>
              <w:t>%</w:t>
            </w:r>
          </w:p>
        </w:tc>
        <w:tc>
          <w:tcPr>
            <w:tcW w:w="682" w:type="pct"/>
          </w:tcPr>
          <w:p w14:paraId="0378EA11" w14:textId="03B07E0E" w:rsidR="0036766A" w:rsidRPr="00F6302B" w:rsidRDefault="00D87CA8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-0.76</w:t>
            </w:r>
            <w:r w:rsidR="007E7B05">
              <w:rPr>
                <w:sz w:val="22"/>
                <w:szCs w:val="22"/>
              </w:rPr>
              <w:t>%</w:t>
            </w:r>
          </w:p>
        </w:tc>
        <w:tc>
          <w:tcPr>
            <w:tcW w:w="715" w:type="pct"/>
          </w:tcPr>
          <w:p w14:paraId="50B852F6" w14:textId="62E4B836" w:rsidR="0036766A" w:rsidRPr="00F6302B" w:rsidRDefault="007E7B05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7CA8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682" w:type="pct"/>
          </w:tcPr>
          <w:p w14:paraId="4A537777" w14:textId="2EA5EDB2" w:rsidR="0036766A" w:rsidRPr="00F6302B" w:rsidRDefault="00D87CA8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8.93</w:t>
            </w:r>
            <w:r w:rsidR="007E7B05">
              <w:rPr>
                <w:sz w:val="22"/>
                <w:szCs w:val="22"/>
              </w:rPr>
              <w:t>%</w:t>
            </w:r>
          </w:p>
        </w:tc>
        <w:tc>
          <w:tcPr>
            <w:tcW w:w="682" w:type="pct"/>
          </w:tcPr>
          <w:p w14:paraId="7F1AF0BC" w14:textId="4D83BC9F" w:rsidR="0036766A" w:rsidRPr="00F6302B" w:rsidRDefault="005C44D3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87CA8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682" w:type="pct"/>
          </w:tcPr>
          <w:p w14:paraId="47925AB3" w14:textId="13E436F7" w:rsidR="0036766A" w:rsidRPr="00F6302B" w:rsidRDefault="00D87CA8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</w:t>
            </w:r>
            <w:r w:rsidR="005C44D3">
              <w:rPr>
                <w:sz w:val="22"/>
                <w:szCs w:val="22"/>
              </w:rPr>
              <w:t>%</w:t>
            </w:r>
          </w:p>
        </w:tc>
      </w:tr>
      <w:tr w:rsidR="0036766A" w:rsidRPr="00F6302B" w14:paraId="1CC33991" w14:textId="77777777">
        <w:tc>
          <w:tcPr>
            <w:tcW w:w="875" w:type="pct"/>
          </w:tcPr>
          <w:p w14:paraId="42F29FDE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Benchmark</w:t>
            </w:r>
          </w:p>
        </w:tc>
        <w:tc>
          <w:tcPr>
            <w:tcW w:w="682" w:type="pct"/>
          </w:tcPr>
          <w:p w14:paraId="70EBEF1F" w14:textId="2F7AEB94" w:rsidR="0036766A" w:rsidRPr="00F6302B" w:rsidRDefault="00D87CA8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40FF5">
              <w:rPr>
                <w:sz w:val="22"/>
                <w:szCs w:val="22"/>
              </w:rPr>
              <w:t>1.15%</w:t>
            </w:r>
          </w:p>
        </w:tc>
        <w:tc>
          <w:tcPr>
            <w:tcW w:w="682" w:type="pct"/>
          </w:tcPr>
          <w:p w14:paraId="2641728C" w14:textId="21AAA4E7" w:rsidR="0036766A" w:rsidRPr="00F6302B" w:rsidRDefault="00040FF5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-1.15%</w:t>
            </w:r>
          </w:p>
        </w:tc>
        <w:tc>
          <w:tcPr>
            <w:tcW w:w="715" w:type="pct"/>
          </w:tcPr>
          <w:p w14:paraId="37D4291F" w14:textId="0E101C82" w:rsidR="0036766A" w:rsidRPr="00F6302B" w:rsidRDefault="0061326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10.95%</w:t>
            </w:r>
          </w:p>
        </w:tc>
        <w:tc>
          <w:tcPr>
            <w:tcW w:w="682" w:type="pct"/>
          </w:tcPr>
          <w:p w14:paraId="613A4FF1" w14:textId="170E2BE4" w:rsidR="0036766A" w:rsidRPr="00F6302B" w:rsidRDefault="0061326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8.99%</w:t>
            </w:r>
          </w:p>
        </w:tc>
        <w:tc>
          <w:tcPr>
            <w:tcW w:w="682" w:type="pct"/>
          </w:tcPr>
          <w:p w14:paraId="1519CDE9" w14:textId="533252DA" w:rsidR="0036766A" w:rsidRPr="00F6302B" w:rsidRDefault="0061326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4.19%</w:t>
            </w:r>
          </w:p>
        </w:tc>
        <w:tc>
          <w:tcPr>
            <w:tcW w:w="682" w:type="pct"/>
          </w:tcPr>
          <w:p w14:paraId="19FD12B4" w14:textId="1D696219" w:rsidR="0036766A" w:rsidRPr="00F6302B" w:rsidRDefault="0061326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6.02%</w:t>
            </w:r>
          </w:p>
        </w:tc>
      </w:tr>
    </w:tbl>
    <w:p w14:paraId="08842FAB" w14:textId="77777777" w:rsidR="0036766A" w:rsidRPr="00F6302B" w:rsidRDefault="0036766A" w:rsidP="00F6302B">
      <w:pPr>
        <w:spacing w:after="0" w:line="276" w:lineRule="auto"/>
        <w:jc w:val="both"/>
      </w:pPr>
      <w:r w:rsidRPr="00F6302B">
        <w:t xml:space="preserve">Benchmark: Conservative Growth Composite Index </w:t>
      </w:r>
    </w:p>
    <w:p w14:paraId="52256B3E" w14:textId="77777777" w:rsidR="0036766A" w:rsidRPr="00F6302B" w:rsidRDefault="0036766A" w:rsidP="00F6302B">
      <w:pPr>
        <w:spacing w:after="0" w:line="276" w:lineRule="auto"/>
        <w:jc w:val="both"/>
      </w:pPr>
    </w:p>
    <w:p w14:paraId="25836313" w14:textId="3F0F7EF8" w:rsidR="0036766A" w:rsidRPr="00F6302B" w:rsidRDefault="0036766A" w:rsidP="00F6302B">
      <w:pPr>
        <w:spacing w:after="0" w:line="276" w:lineRule="auto"/>
        <w:jc w:val="both"/>
      </w:pPr>
      <w:hyperlink r:id="rId10" w:history="1">
        <w:r w:rsidRPr="006F7452">
          <w:rPr>
            <w:rStyle w:val="Hyperlink"/>
          </w:rPr>
          <w:t>Click here for more information:</w:t>
        </w:r>
      </w:hyperlink>
    </w:p>
    <w:p w14:paraId="651EB76D" w14:textId="77777777" w:rsidR="0036766A" w:rsidRPr="00F6302B" w:rsidRDefault="0036766A" w:rsidP="00F6302B">
      <w:pPr>
        <w:pBdr>
          <w:bottom w:val="single" w:sz="6" w:space="1" w:color="auto"/>
        </w:pBdr>
        <w:spacing w:after="0" w:line="276" w:lineRule="auto"/>
        <w:jc w:val="both"/>
      </w:pPr>
    </w:p>
    <w:p w14:paraId="6A6AF093" w14:textId="77777777" w:rsidR="004B4FA4" w:rsidRPr="00F6302B" w:rsidRDefault="004B4FA4" w:rsidP="00F6302B">
      <w:pPr>
        <w:spacing w:after="0" w:line="276" w:lineRule="auto"/>
        <w:jc w:val="both"/>
      </w:pPr>
    </w:p>
    <w:p w14:paraId="00CFBD00" w14:textId="5BEA4482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  <w:r w:rsidRPr="00F6302B">
        <w:rPr>
          <w:b/>
          <w:bCs/>
        </w:rPr>
        <w:t xml:space="preserve">Vanguard STAR Fund (Fund No. 0056 VGSTX) </w:t>
      </w:r>
    </w:p>
    <w:p w14:paraId="57375761" w14:textId="598D8AE3" w:rsidR="0036766A" w:rsidRDefault="00BE413C" w:rsidP="00F6302B">
      <w:pPr>
        <w:spacing w:after="0" w:line="276" w:lineRule="auto"/>
        <w:jc w:val="both"/>
      </w:pPr>
      <w:r w:rsidRPr="00F6302B">
        <w:t>30</w:t>
      </w:r>
      <w:r w:rsidR="00151A12" w:rsidRPr="00F6302B">
        <w:t xml:space="preserve"> Day SEC Yield: </w:t>
      </w:r>
      <w:r w:rsidR="006F0D0D">
        <w:t>2.39</w:t>
      </w:r>
      <w:r w:rsidR="00151A12" w:rsidRPr="00F6302B">
        <w:t xml:space="preserve">% as of </w:t>
      </w:r>
      <w:r w:rsidR="004737CE">
        <w:t>0</w:t>
      </w:r>
      <w:r w:rsidR="00402722">
        <w:t>5/31/2026</w:t>
      </w:r>
    </w:p>
    <w:p w14:paraId="3A6176F7" w14:textId="5DADAEDC" w:rsidR="00A43114" w:rsidRPr="00F6302B" w:rsidRDefault="00A43114" w:rsidP="00F6302B">
      <w:pPr>
        <w:spacing w:after="0" w:line="276" w:lineRule="auto"/>
        <w:jc w:val="both"/>
      </w:pPr>
      <w:r w:rsidRPr="00A43114">
        <w:t>Dividend Yield: 1.</w:t>
      </w:r>
      <w:r w:rsidR="00402722">
        <w:t>64</w:t>
      </w:r>
      <w:r w:rsidRPr="00A43114">
        <w:t xml:space="preserve">% as of </w:t>
      </w:r>
      <w:r w:rsidR="00402722">
        <w:t>04/30/2026</w:t>
      </w:r>
    </w:p>
    <w:p w14:paraId="5574AA08" w14:textId="4A820077" w:rsidR="00151A12" w:rsidRPr="00F6302B" w:rsidRDefault="00151A12" w:rsidP="00F6302B">
      <w:pPr>
        <w:spacing w:after="0" w:line="276" w:lineRule="auto"/>
        <w:jc w:val="both"/>
      </w:pPr>
      <w:r w:rsidRPr="00F6302B">
        <w:t>Expense Ratio: 0.</w:t>
      </w:r>
      <w:r w:rsidR="006F0D0D">
        <w:t>29</w:t>
      </w:r>
      <w:r w:rsidRPr="00F6302B">
        <w:t xml:space="preserve">% as of </w:t>
      </w:r>
      <w:r w:rsidR="00172054">
        <w:t>0</w:t>
      </w:r>
      <w:r w:rsidR="006F0D0D">
        <w:t>2/27/2026</w:t>
      </w:r>
    </w:p>
    <w:p w14:paraId="2141584D" w14:textId="77777777" w:rsidR="00BE413C" w:rsidRPr="00F6302B" w:rsidRDefault="00BE413C" w:rsidP="00F6302B">
      <w:pPr>
        <w:spacing w:after="0" w:line="276" w:lineRule="auto"/>
        <w:jc w:val="both"/>
        <w:rPr>
          <w:b/>
          <w:bCs/>
        </w:rPr>
      </w:pPr>
    </w:p>
    <w:p w14:paraId="012003C7" w14:textId="1AD54447" w:rsidR="0036766A" w:rsidRPr="00F6302B" w:rsidRDefault="0036766A" w:rsidP="00F6302B">
      <w:pPr>
        <w:spacing w:after="0" w:line="276" w:lineRule="auto"/>
        <w:jc w:val="both"/>
      </w:pPr>
      <w:r w:rsidRPr="00F6302B">
        <w:t xml:space="preserve">The </w:t>
      </w:r>
      <w:r w:rsidR="00173B42">
        <w:t xml:space="preserve">Vanguard </w:t>
      </w:r>
      <w:r w:rsidRPr="00F6302B">
        <w:t xml:space="preserve">STAR </w:t>
      </w:r>
      <w:r w:rsidR="00805C07">
        <w:t>F</w:t>
      </w:r>
      <w:r w:rsidRPr="00F6302B">
        <w:t xml:space="preserve">und seeks to provide long-term capital appreciation and income by investing in a balanced allocation of stocks, bonds, and short-term investments. The </w:t>
      </w:r>
      <w:r w:rsidR="00805C07">
        <w:t>F</w:t>
      </w:r>
      <w:r w:rsidRPr="00F6302B">
        <w:t>und invests in several actively managed Vanguard mutual funds, rather than in individual securities.  Similar to the CFI Pool, the</w:t>
      </w:r>
      <w:r w:rsidR="00805C07">
        <w:t xml:space="preserve"> F</w:t>
      </w:r>
      <w:r w:rsidRPr="00F6302B">
        <w:t xml:space="preserve">und is most appropriate for donors whose funds have an infinite investment time horizon.  Unlike the CFI Portfolio, the </w:t>
      </w:r>
      <w:r w:rsidR="00CD5842">
        <w:t>F</w:t>
      </w:r>
      <w:r w:rsidRPr="00F6302B">
        <w:t>und offers daily liquidity.</w:t>
      </w:r>
    </w:p>
    <w:p w14:paraId="443D8D1C" w14:textId="77777777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</w:p>
    <w:p w14:paraId="085B3E46" w14:textId="1F44B5F3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  <w:r w:rsidRPr="00F6302B">
        <w:rPr>
          <w:b/>
          <w:bCs/>
        </w:rPr>
        <w:t xml:space="preserve">Performance as of </w:t>
      </w:r>
      <w:r w:rsidR="00616807">
        <w:rPr>
          <w:b/>
          <w:bCs/>
        </w:rPr>
        <w:t>03/31/2026</w:t>
      </w:r>
    </w:p>
    <w:tbl>
      <w:tblPr>
        <w:tblStyle w:val="TableGrid"/>
        <w:tblW w:w="3860" w:type="pct"/>
        <w:tblLook w:val="04A0" w:firstRow="1" w:lastRow="0" w:firstColumn="1" w:lastColumn="0" w:noHBand="0" w:noVBand="1"/>
      </w:tblPr>
      <w:tblGrid>
        <w:gridCol w:w="1365"/>
        <w:gridCol w:w="967"/>
        <w:gridCol w:w="967"/>
        <w:gridCol w:w="1015"/>
        <w:gridCol w:w="968"/>
        <w:gridCol w:w="968"/>
        <w:gridCol w:w="968"/>
      </w:tblGrid>
      <w:tr w:rsidR="0036766A" w:rsidRPr="00F6302B" w14:paraId="586C42BD" w14:textId="77777777">
        <w:tc>
          <w:tcPr>
            <w:tcW w:w="875" w:type="pct"/>
          </w:tcPr>
          <w:p w14:paraId="2F70ACDE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pct"/>
          </w:tcPr>
          <w:p w14:paraId="10A48549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QTR</w:t>
            </w:r>
          </w:p>
        </w:tc>
        <w:tc>
          <w:tcPr>
            <w:tcW w:w="682" w:type="pct"/>
          </w:tcPr>
          <w:p w14:paraId="129A03AF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YTD</w:t>
            </w:r>
          </w:p>
        </w:tc>
        <w:tc>
          <w:tcPr>
            <w:tcW w:w="715" w:type="pct"/>
          </w:tcPr>
          <w:p w14:paraId="398C12F6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 Year</w:t>
            </w:r>
          </w:p>
        </w:tc>
        <w:tc>
          <w:tcPr>
            <w:tcW w:w="682" w:type="pct"/>
          </w:tcPr>
          <w:p w14:paraId="4DC03EA8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3 Year</w:t>
            </w:r>
          </w:p>
        </w:tc>
        <w:tc>
          <w:tcPr>
            <w:tcW w:w="682" w:type="pct"/>
          </w:tcPr>
          <w:p w14:paraId="6330A452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5 Year</w:t>
            </w:r>
          </w:p>
        </w:tc>
        <w:tc>
          <w:tcPr>
            <w:tcW w:w="682" w:type="pct"/>
          </w:tcPr>
          <w:p w14:paraId="5C1CD034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10 Year</w:t>
            </w:r>
          </w:p>
        </w:tc>
      </w:tr>
      <w:tr w:rsidR="0036766A" w:rsidRPr="00F6302B" w14:paraId="1C74923A" w14:textId="77777777">
        <w:tc>
          <w:tcPr>
            <w:tcW w:w="875" w:type="pct"/>
          </w:tcPr>
          <w:p w14:paraId="4C49436C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VGSTX</w:t>
            </w:r>
          </w:p>
        </w:tc>
        <w:tc>
          <w:tcPr>
            <w:tcW w:w="682" w:type="pct"/>
          </w:tcPr>
          <w:p w14:paraId="31AC5C41" w14:textId="3FFBC8A4" w:rsidR="0036766A" w:rsidRPr="00F6302B" w:rsidRDefault="00B9415D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-2.19%</w:t>
            </w:r>
          </w:p>
        </w:tc>
        <w:tc>
          <w:tcPr>
            <w:tcW w:w="682" w:type="pct"/>
          </w:tcPr>
          <w:p w14:paraId="3C5BF12C" w14:textId="3A579E99" w:rsidR="0036766A" w:rsidRPr="00F6302B" w:rsidRDefault="00B9415D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-2.19%</w:t>
            </w:r>
          </w:p>
        </w:tc>
        <w:tc>
          <w:tcPr>
            <w:tcW w:w="715" w:type="pct"/>
          </w:tcPr>
          <w:p w14:paraId="2E3FEA5F" w14:textId="210F4599" w:rsidR="0036766A" w:rsidRPr="00F6302B" w:rsidRDefault="00B9415D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13.61%</w:t>
            </w:r>
          </w:p>
        </w:tc>
        <w:tc>
          <w:tcPr>
            <w:tcW w:w="682" w:type="pct"/>
          </w:tcPr>
          <w:p w14:paraId="650EF9A1" w14:textId="0718EE63" w:rsidR="0036766A" w:rsidRPr="00F6302B" w:rsidRDefault="00B9415D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10.71%</w:t>
            </w:r>
          </w:p>
        </w:tc>
        <w:tc>
          <w:tcPr>
            <w:tcW w:w="682" w:type="pct"/>
          </w:tcPr>
          <w:p w14:paraId="0A8B7B65" w14:textId="6A572579" w:rsidR="0036766A" w:rsidRPr="00F6302B" w:rsidRDefault="001F310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4.92%</w:t>
            </w:r>
          </w:p>
        </w:tc>
        <w:tc>
          <w:tcPr>
            <w:tcW w:w="682" w:type="pct"/>
          </w:tcPr>
          <w:p w14:paraId="2409865E" w14:textId="7D70BDF2" w:rsidR="0036766A" w:rsidRPr="00F6302B" w:rsidRDefault="001F310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8.65%</w:t>
            </w:r>
          </w:p>
        </w:tc>
      </w:tr>
      <w:tr w:rsidR="0036766A" w:rsidRPr="00F6302B" w14:paraId="5E4C81A5" w14:textId="77777777">
        <w:tc>
          <w:tcPr>
            <w:tcW w:w="875" w:type="pct"/>
          </w:tcPr>
          <w:p w14:paraId="3F1A78E3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Benchmark</w:t>
            </w:r>
          </w:p>
        </w:tc>
        <w:tc>
          <w:tcPr>
            <w:tcW w:w="682" w:type="pct"/>
          </w:tcPr>
          <w:p w14:paraId="759C70AE" w14:textId="0C68AEA2" w:rsidR="0036766A" w:rsidRPr="00F6302B" w:rsidRDefault="001F310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-1.82%</w:t>
            </w:r>
          </w:p>
        </w:tc>
        <w:tc>
          <w:tcPr>
            <w:tcW w:w="682" w:type="pct"/>
          </w:tcPr>
          <w:p w14:paraId="0D9BC9B6" w14:textId="77E1121E" w:rsidR="0036766A" w:rsidRPr="00F6302B" w:rsidRDefault="00616807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-1.82%</w:t>
            </w:r>
          </w:p>
        </w:tc>
        <w:tc>
          <w:tcPr>
            <w:tcW w:w="715" w:type="pct"/>
          </w:tcPr>
          <w:p w14:paraId="2C960065" w14:textId="29A55441" w:rsidR="0036766A" w:rsidRPr="00F6302B" w:rsidRDefault="00616807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14.80%</w:t>
            </w:r>
          </w:p>
        </w:tc>
        <w:tc>
          <w:tcPr>
            <w:tcW w:w="682" w:type="pct"/>
          </w:tcPr>
          <w:p w14:paraId="1199DBCA" w14:textId="1FEF19DC" w:rsidR="0036766A" w:rsidRPr="00F6302B" w:rsidRDefault="00616807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12.36%</w:t>
            </w:r>
          </w:p>
        </w:tc>
        <w:tc>
          <w:tcPr>
            <w:tcW w:w="682" w:type="pct"/>
          </w:tcPr>
          <w:p w14:paraId="56919798" w14:textId="1F9E0A8F" w:rsidR="0036766A" w:rsidRPr="00F6302B" w:rsidRDefault="00616807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6.86%</w:t>
            </w:r>
          </w:p>
        </w:tc>
        <w:tc>
          <w:tcPr>
            <w:tcW w:w="682" w:type="pct"/>
          </w:tcPr>
          <w:p w14:paraId="2A717970" w14:textId="47557B9F" w:rsidR="0036766A" w:rsidRPr="00F6302B" w:rsidRDefault="00616807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8.76%</w:t>
            </w:r>
          </w:p>
        </w:tc>
      </w:tr>
    </w:tbl>
    <w:p w14:paraId="38168D7B" w14:textId="3AB6DFA2" w:rsidR="0036766A" w:rsidRPr="00F6302B" w:rsidRDefault="0036766A" w:rsidP="00F6302B">
      <w:pPr>
        <w:spacing w:after="0" w:line="276" w:lineRule="auto"/>
        <w:jc w:val="both"/>
      </w:pPr>
      <w:r w:rsidRPr="00F6302B">
        <w:t>Benchmark:</w:t>
      </w:r>
      <w:r w:rsidR="00151A12" w:rsidRPr="00F6302B">
        <w:t xml:space="preserve"> </w:t>
      </w:r>
      <w:r w:rsidRPr="00F6302B">
        <w:t>STAR Composite Index</w:t>
      </w:r>
    </w:p>
    <w:p w14:paraId="07CFBB24" w14:textId="77777777" w:rsidR="0036766A" w:rsidRPr="00F6302B" w:rsidRDefault="0036766A" w:rsidP="00F6302B">
      <w:pPr>
        <w:spacing w:after="0" w:line="276" w:lineRule="auto"/>
        <w:jc w:val="both"/>
      </w:pPr>
    </w:p>
    <w:p w14:paraId="21ED73C7" w14:textId="2040DACC" w:rsidR="00C14657" w:rsidRPr="00F6302B" w:rsidRDefault="0036766A" w:rsidP="00F6302B">
      <w:pPr>
        <w:pBdr>
          <w:bottom w:val="single" w:sz="6" w:space="1" w:color="auto"/>
        </w:pBdr>
        <w:spacing w:after="0" w:line="276" w:lineRule="auto"/>
        <w:jc w:val="both"/>
      </w:pPr>
      <w:hyperlink r:id="rId11" w:history="1">
        <w:r w:rsidRPr="00FF253E">
          <w:rPr>
            <w:rStyle w:val="Hyperlink"/>
          </w:rPr>
          <w:t>Click here for more information:</w:t>
        </w:r>
      </w:hyperlink>
    </w:p>
    <w:p w14:paraId="11BD8A99" w14:textId="77777777" w:rsidR="00C14657" w:rsidRPr="00F6302B" w:rsidRDefault="00C14657" w:rsidP="00F6302B">
      <w:pPr>
        <w:pBdr>
          <w:bottom w:val="single" w:sz="6" w:space="1" w:color="auto"/>
        </w:pBdr>
        <w:spacing w:after="0" w:line="276" w:lineRule="auto"/>
        <w:jc w:val="both"/>
      </w:pPr>
    </w:p>
    <w:p w14:paraId="41A0F291" w14:textId="77777777" w:rsidR="00C14657" w:rsidRPr="00F6302B" w:rsidRDefault="00C14657" w:rsidP="00F6302B">
      <w:pPr>
        <w:spacing w:after="0"/>
        <w:jc w:val="both"/>
        <w:rPr>
          <w:b/>
          <w:bCs/>
        </w:rPr>
      </w:pPr>
    </w:p>
    <w:p w14:paraId="3ABDAD2B" w14:textId="2DBEB41C" w:rsidR="0036766A" w:rsidRPr="00F6302B" w:rsidRDefault="0036766A" w:rsidP="00F6302B">
      <w:pPr>
        <w:spacing w:after="0"/>
        <w:jc w:val="both"/>
      </w:pPr>
      <w:r w:rsidRPr="00F6302B">
        <w:rPr>
          <w:b/>
          <w:bCs/>
        </w:rPr>
        <w:t>Vanguard FTSE Social Index Fund (Fund No. 0513 – VFTAX)</w:t>
      </w:r>
    </w:p>
    <w:p w14:paraId="05E63734" w14:textId="518BBDD6" w:rsidR="0036766A" w:rsidRDefault="00151A12" w:rsidP="00F6302B">
      <w:pPr>
        <w:spacing w:after="0" w:line="276" w:lineRule="auto"/>
        <w:jc w:val="both"/>
      </w:pPr>
      <w:r w:rsidRPr="00F6302B">
        <w:t>30 Day</w:t>
      </w:r>
      <w:r w:rsidR="00791245" w:rsidRPr="00F6302B">
        <w:t xml:space="preserve"> SEC Yield: </w:t>
      </w:r>
      <w:r w:rsidR="002E111A">
        <w:t>0.</w:t>
      </w:r>
      <w:r w:rsidR="00172054">
        <w:t>77</w:t>
      </w:r>
      <w:r w:rsidR="00791245" w:rsidRPr="00F6302B">
        <w:t>%</w:t>
      </w:r>
      <w:r w:rsidR="00267272" w:rsidRPr="00F6302B">
        <w:t xml:space="preserve"> as of </w:t>
      </w:r>
      <w:r w:rsidR="00172054">
        <w:t>05</w:t>
      </w:r>
      <w:r w:rsidR="00F1621D">
        <w:t>/31/2026</w:t>
      </w:r>
    </w:p>
    <w:p w14:paraId="648FC1DE" w14:textId="6CD535E8" w:rsidR="002B3BC8" w:rsidRDefault="002B3BC8" w:rsidP="00F6302B">
      <w:pPr>
        <w:spacing w:after="0" w:line="276" w:lineRule="auto"/>
        <w:jc w:val="both"/>
      </w:pPr>
      <w:r>
        <w:t xml:space="preserve">Dividend Yield: </w:t>
      </w:r>
      <w:r w:rsidR="00363B6F">
        <w:t>0.9</w:t>
      </w:r>
      <w:r w:rsidR="00C7480F">
        <w:t>5</w:t>
      </w:r>
      <w:r>
        <w:t xml:space="preserve">% as of </w:t>
      </w:r>
      <w:r w:rsidR="00172054">
        <w:t>04/30</w:t>
      </w:r>
      <w:r>
        <w:t>/202</w:t>
      </w:r>
      <w:r w:rsidR="00363B6F">
        <w:t>6</w:t>
      </w:r>
    </w:p>
    <w:p w14:paraId="53FE7921" w14:textId="78FE9DF2" w:rsidR="00B2306E" w:rsidRPr="00F6302B" w:rsidRDefault="00B2306E" w:rsidP="00F6302B">
      <w:pPr>
        <w:spacing w:after="0" w:line="276" w:lineRule="auto"/>
        <w:jc w:val="both"/>
      </w:pPr>
      <w:r w:rsidRPr="00F6302B">
        <w:t>Expense Ratio: 0.1</w:t>
      </w:r>
      <w:r w:rsidR="00531359">
        <w:t>1</w:t>
      </w:r>
      <w:r w:rsidRPr="00F6302B">
        <w:t xml:space="preserve">% as of </w:t>
      </w:r>
      <w:r w:rsidR="00F1621D">
        <w:t>0</w:t>
      </w:r>
      <w:r w:rsidRPr="00F6302B">
        <w:t>2/</w:t>
      </w:r>
      <w:r w:rsidR="002B3BC8">
        <w:t>0</w:t>
      </w:r>
      <w:r w:rsidR="00531359">
        <w:t>2</w:t>
      </w:r>
      <w:r w:rsidRPr="00F6302B">
        <w:t>/202</w:t>
      </w:r>
      <w:r w:rsidR="00531359">
        <w:t>6</w:t>
      </w:r>
    </w:p>
    <w:p w14:paraId="61CEE83D" w14:textId="77777777" w:rsidR="00151A12" w:rsidRPr="00F6302B" w:rsidRDefault="00151A12" w:rsidP="00F6302B">
      <w:pPr>
        <w:spacing w:after="0" w:line="276" w:lineRule="auto"/>
        <w:jc w:val="both"/>
      </w:pPr>
    </w:p>
    <w:p w14:paraId="0827CAEE" w14:textId="0F71F51E" w:rsidR="00F6302B" w:rsidRPr="00F6302B" w:rsidRDefault="0036766A" w:rsidP="00F6302B">
      <w:pPr>
        <w:spacing w:after="0" w:line="276" w:lineRule="auto"/>
        <w:jc w:val="both"/>
      </w:pPr>
      <w:r w:rsidRPr="00F6302B">
        <w:lastRenderedPageBreak/>
        <w:t xml:space="preserve">The Vanguard </w:t>
      </w:r>
      <w:r w:rsidR="000721FB">
        <w:t xml:space="preserve">FTSE </w:t>
      </w:r>
      <w:r w:rsidRPr="00F6302B">
        <w:t xml:space="preserve">Social Index Fund offers donors a socially screened investment option. The </w:t>
      </w:r>
      <w:r w:rsidR="00CD5842">
        <w:t>F</w:t>
      </w:r>
      <w:r w:rsidRPr="00F6302B">
        <w:t>und tracks the FTSE U.S. Choice Index, a benchmark of large</w:t>
      </w:r>
      <w:r w:rsidR="000721FB">
        <w:t xml:space="preserve"> </w:t>
      </w:r>
      <w:r w:rsidRPr="00F6302B">
        <w:t>and</w:t>
      </w:r>
      <w:r w:rsidR="000721FB">
        <w:t xml:space="preserve"> </w:t>
      </w:r>
      <w:r w:rsidRPr="00F6302B">
        <w:t xml:space="preserve">mid-capitalization stocks that are screened for social criteria such as workplace issues, environmental issues, product safety, human rights, and corporate responsibility. This Fund is </w:t>
      </w:r>
      <w:r w:rsidR="00644A17">
        <w:t>99</w:t>
      </w:r>
      <w:r w:rsidRPr="00F6302B">
        <w:t>% invested in U.S. equities and tends towards a growth orientation.</w:t>
      </w:r>
    </w:p>
    <w:p w14:paraId="1C552B91" w14:textId="77777777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</w:p>
    <w:p w14:paraId="0A751626" w14:textId="01E0B1D9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  <w:r w:rsidRPr="00F6302B">
        <w:rPr>
          <w:b/>
          <w:bCs/>
        </w:rPr>
        <w:t xml:space="preserve">Performance as of </w:t>
      </w:r>
      <w:r w:rsidR="00711025">
        <w:rPr>
          <w:b/>
          <w:bCs/>
        </w:rPr>
        <w:t>03/31/2026</w:t>
      </w:r>
    </w:p>
    <w:tbl>
      <w:tblPr>
        <w:tblStyle w:val="TableGrid"/>
        <w:tblW w:w="3860" w:type="pct"/>
        <w:tblLook w:val="04A0" w:firstRow="1" w:lastRow="0" w:firstColumn="1" w:lastColumn="0" w:noHBand="0" w:noVBand="1"/>
      </w:tblPr>
      <w:tblGrid>
        <w:gridCol w:w="1365"/>
        <w:gridCol w:w="967"/>
        <w:gridCol w:w="967"/>
        <w:gridCol w:w="1015"/>
        <w:gridCol w:w="968"/>
        <w:gridCol w:w="968"/>
        <w:gridCol w:w="968"/>
      </w:tblGrid>
      <w:tr w:rsidR="0036766A" w:rsidRPr="00F6302B" w14:paraId="7BDBA9B0" w14:textId="77777777">
        <w:tc>
          <w:tcPr>
            <w:tcW w:w="874" w:type="pct"/>
          </w:tcPr>
          <w:p w14:paraId="48DF5352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pct"/>
          </w:tcPr>
          <w:p w14:paraId="3A8C4E60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QTR</w:t>
            </w:r>
          </w:p>
        </w:tc>
        <w:tc>
          <w:tcPr>
            <w:tcW w:w="682" w:type="pct"/>
          </w:tcPr>
          <w:p w14:paraId="33A78DB2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YTD</w:t>
            </w:r>
          </w:p>
        </w:tc>
        <w:tc>
          <w:tcPr>
            <w:tcW w:w="715" w:type="pct"/>
          </w:tcPr>
          <w:p w14:paraId="3DF3B0D1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 Year</w:t>
            </w:r>
          </w:p>
        </w:tc>
        <w:tc>
          <w:tcPr>
            <w:tcW w:w="682" w:type="pct"/>
          </w:tcPr>
          <w:p w14:paraId="48D322E2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3 Year</w:t>
            </w:r>
          </w:p>
        </w:tc>
        <w:tc>
          <w:tcPr>
            <w:tcW w:w="682" w:type="pct"/>
          </w:tcPr>
          <w:p w14:paraId="66EE1396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5 Year</w:t>
            </w:r>
          </w:p>
        </w:tc>
        <w:tc>
          <w:tcPr>
            <w:tcW w:w="682" w:type="pct"/>
          </w:tcPr>
          <w:p w14:paraId="56725960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10 Year</w:t>
            </w:r>
          </w:p>
        </w:tc>
      </w:tr>
      <w:tr w:rsidR="0036766A" w:rsidRPr="00F6302B" w14:paraId="51FB9021" w14:textId="77777777">
        <w:tc>
          <w:tcPr>
            <w:tcW w:w="874" w:type="pct"/>
          </w:tcPr>
          <w:p w14:paraId="3509C1C5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VFTAX</w:t>
            </w:r>
          </w:p>
        </w:tc>
        <w:tc>
          <w:tcPr>
            <w:tcW w:w="682" w:type="pct"/>
          </w:tcPr>
          <w:p w14:paraId="525B6DB8" w14:textId="311C6130" w:rsidR="0036766A" w:rsidRPr="00F6302B" w:rsidRDefault="00ED369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-7.52%</w:t>
            </w:r>
          </w:p>
        </w:tc>
        <w:tc>
          <w:tcPr>
            <w:tcW w:w="682" w:type="pct"/>
          </w:tcPr>
          <w:p w14:paraId="188D0CCE" w14:textId="5B8892D0" w:rsidR="0036766A" w:rsidRPr="00F6302B" w:rsidRDefault="00ED369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-7.52%</w:t>
            </w:r>
          </w:p>
        </w:tc>
        <w:tc>
          <w:tcPr>
            <w:tcW w:w="715" w:type="pct"/>
          </w:tcPr>
          <w:p w14:paraId="7630EFF5" w14:textId="5CF44F8B" w:rsidR="0036766A" w:rsidRPr="00F6302B" w:rsidRDefault="00ED369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15.59%</w:t>
            </w:r>
          </w:p>
        </w:tc>
        <w:tc>
          <w:tcPr>
            <w:tcW w:w="682" w:type="pct"/>
          </w:tcPr>
          <w:p w14:paraId="4E7281E3" w14:textId="41B76659" w:rsidR="0036766A" w:rsidRPr="00F6302B" w:rsidRDefault="00ED369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17.90%</w:t>
            </w:r>
          </w:p>
        </w:tc>
        <w:tc>
          <w:tcPr>
            <w:tcW w:w="682" w:type="pct"/>
          </w:tcPr>
          <w:p w14:paraId="19EDD349" w14:textId="47949CF3" w:rsidR="0036766A" w:rsidRPr="00F6302B" w:rsidRDefault="00DF2B78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10.73%</w:t>
            </w:r>
          </w:p>
        </w:tc>
        <w:tc>
          <w:tcPr>
            <w:tcW w:w="682" w:type="pct"/>
          </w:tcPr>
          <w:p w14:paraId="53CF479F" w14:textId="77777777" w:rsidR="0036766A" w:rsidRPr="00F6302B" w:rsidRDefault="0036766A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302B">
              <w:rPr>
                <w:sz w:val="22"/>
                <w:szCs w:val="22"/>
              </w:rPr>
              <w:t>-</w:t>
            </w:r>
          </w:p>
        </w:tc>
      </w:tr>
      <w:tr w:rsidR="0036766A" w:rsidRPr="00F6302B" w14:paraId="206F69CC" w14:textId="77777777">
        <w:tc>
          <w:tcPr>
            <w:tcW w:w="874" w:type="pct"/>
          </w:tcPr>
          <w:p w14:paraId="3AD51502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Benchmark</w:t>
            </w:r>
          </w:p>
        </w:tc>
        <w:tc>
          <w:tcPr>
            <w:tcW w:w="682" w:type="pct"/>
          </w:tcPr>
          <w:p w14:paraId="1B93D175" w14:textId="0393FDFD" w:rsidR="0036766A" w:rsidRPr="00F6302B" w:rsidRDefault="00DF2B78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-7.50%</w:t>
            </w:r>
          </w:p>
        </w:tc>
        <w:tc>
          <w:tcPr>
            <w:tcW w:w="682" w:type="pct"/>
          </w:tcPr>
          <w:p w14:paraId="10D74648" w14:textId="1E47461C" w:rsidR="0036766A" w:rsidRPr="00F6302B" w:rsidRDefault="00711025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-7.50%</w:t>
            </w:r>
          </w:p>
        </w:tc>
        <w:tc>
          <w:tcPr>
            <w:tcW w:w="715" w:type="pct"/>
          </w:tcPr>
          <w:p w14:paraId="2DAFE44A" w14:textId="45D3527A" w:rsidR="0036766A" w:rsidRPr="00F6302B" w:rsidRDefault="00711025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15.74%</w:t>
            </w:r>
          </w:p>
        </w:tc>
        <w:tc>
          <w:tcPr>
            <w:tcW w:w="682" w:type="pct"/>
          </w:tcPr>
          <w:p w14:paraId="4FD5C432" w14:textId="73C80846" w:rsidR="0036766A" w:rsidRPr="00F6302B" w:rsidRDefault="00711025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18.04%</w:t>
            </w:r>
          </w:p>
        </w:tc>
        <w:tc>
          <w:tcPr>
            <w:tcW w:w="682" w:type="pct"/>
          </w:tcPr>
          <w:p w14:paraId="56D49FC8" w14:textId="0B4F0D86" w:rsidR="0036766A" w:rsidRPr="00F6302B" w:rsidRDefault="00711025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10.87%</w:t>
            </w:r>
          </w:p>
        </w:tc>
        <w:tc>
          <w:tcPr>
            <w:tcW w:w="682" w:type="pct"/>
          </w:tcPr>
          <w:p w14:paraId="3602B1E5" w14:textId="4171A43A" w:rsidR="0036766A" w:rsidRPr="00F6302B" w:rsidRDefault="00711025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14.46%</w:t>
            </w:r>
          </w:p>
        </w:tc>
      </w:tr>
    </w:tbl>
    <w:p w14:paraId="6D3A7526" w14:textId="77777777" w:rsidR="0036766A" w:rsidRPr="00F6302B" w:rsidRDefault="0036766A" w:rsidP="00F6302B">
      <w:pPr>
        <w:spacing w:after="0" w:line="276" w:lineRule="auto"/>
        <w:jc w:val="both"/>
      </w:pPr>
      <w:r w:rsidRPr="00F6302B">
        <w:t xml:space="preserve">Benchmark: FTSE </w:t>
      </w:r>
      <w:r w:rsidRPr="00F6302B">
        <w:rPr>
          <w:i/>
          <w:iCs/>
        </w:rPr>
        <w:t>US Choice</w:t>
      </w:r>
      <w:r w:rsidRPr="00F6302B">
        <w:t xml:space="preserve"> Index</w:t>
      </w:r>
    </w:p>
    <w:p w14:paraId="282007AE" w14:textId="77777777" w:rsidR="00E40EC0" w:rsidRPr="00F6302B" w:rsidRDefault="00E40EC0" w:rsidP="00F6302B">
      <w:pPr>
        <w:pBdr>
          <w:bottom w:val="single" w:sz="6" w:space="1" w:color="auto"/>
        </w:pBdr>
        <w:spacing w:after="0" w:line="276" w:lineRule="auto"/>
        <w:jc w:val="both"/>
      </w:pPr>
    </w:p>
    <w:p w14:paraId="76AD1BED" w14:textId="0E7A2345" w:rsidR="0036766A" w:rsidRPr="00F6302B" w:rsidRDefault="0036766A" w:rsidP="00F6302B">
      <w:pPr>
        <w:pBdr>
          <w:bottom w:val="single" w:sz="6" w:space="1" w:color="auto"/>
        </w:pBdr>
        <w:spacing w:after="0" w:line="276" w:lineRule="auto"/>
        <w:jc w:val="both"/>
      </w:pPr>
      <w:hyperlink r:id="rId12" w:history="1">
        <w:r w:rsidRPr="00F6302B">
          <w:rPr>
            <w:rStyle w:val="Hyperlink"/>
          </w:rPr>
          <w:t>Click here for more information:</w:t>
        </w:r>
      </w:hyperlink>
    </w:p>
    <w:p w14:paraId="1CAF67D1" w14:textId="77777777" w:rsidR="0036766A" w:rsidRPr="00F6302B" w:rsidRDefault="0036766A" w:rsidP="00F6302B">
      <w:pPr>
        <w:pBdr>
          <w:bottom w:val="single" w:sz="6" w:space="1" w:color="auto"/>
        </w:pBdr>
        <w:spacing w:after="0" w:line="276" w:lineRule="auto"/>
        <w:jc w:val="both"/>
      </w:pPr>
    </w:p>
    <w:p w14:paraId="6A154D4E" w14:textId="77777777" w:rsidR="0036766A" w:rsidRPr="00F6302B" w:rsidRDefault="0036766A" w:rsidP="00F6302B">
      <w:pPr>
        <w:spacing w:after="0" w:line="276" w:lineRule="auto"/>
        <w:jc w:val="both"/>
      </w:pPr>
    </w:p>
    <w:p w14:paraId="4E438D11" w14:textId="77777777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  <w:r w:rsidRPr="00F6302B">
        <w:rPr>
          <w:b/>
          <w:bCs/>
        </w:rPr>
        <w:t>Community Funds Investment Pool  </w:t>
      </w:r>
    </w:p>
    <w:p w14:paraId="108795F4" w14:textId="77777777" w:rsidR="0036766A" w:rsidRPr="00F6302B" w:rsidRDefault="0036766A" w:rsidP="00F6302B">
      <w:pPr>
        <w:spacing w:after="0" w:line="276" w:lineRule="auto"/>
        <w:jc w:val="both"/>
        <w:rPr>
          <w:b/>
          <w:bCs/>
        </w:rPr>
      </w:pPr>
      <w:r w:rsidRPr="00F6302B">
        <w:rPr>
          <w:b/>
          <w:bCs/>
        </w:rPr>
        <w:t>Expense Ratio: Up to 1%</w:t>
      </w:r>
    </w:p>
    <w:p w14:paraId="3C905DC6" w14:textId="77777777" w:rsidR="0036766A" w:rsidRPr="00F6302B" w:rsidRDefault="0036766A" w:rsidP="00F6302B">
      <w:pPr>
        <w:spacing w:after="0" w:line="276" w:lineRule="auto"/>
        <w:jc w:val="both"/>
      </w:pPr>
    </w:p>
    <w:p w14:paraId="096A4E3F" w14:textId="3ED81758" w:rsidR="0036766A" w:rsidRPr="00F6302B" w:rsidRDefault="0036766A" w:rsidP="00F6302B">
      <w:pPr>
        <w:spacing w:after="0" w:line="276" w:lineRule="auto"/>
        <w:jc w:val="both"/>
      </w:pPr>
      <w:r w:rsidRPr="00F6302B">
        <w:t xml:space="preserve">The </w:t>
      </w:r>
      <w:r w:rsidR="00CD5842">
        <w:t>Community Funds Investment P</w:t>
      </w:r>
      <w:r w:rsidRPr="00F6302B">
        <w:t xml:space="preserve">ool is suitable for donors whose funds have an infinite investment time horizon.  It aims to produce a return which provides for current grantmaking while also ensuring the ability to make future grants.  The </w:t>
      </w:r>
      <w:r w:rsidR="001748A6">
        <w:t>P</w:t>
      </w:r>
      <w:r w:rsidR="00CD5842">
        <w:t>ool</w:t>
      </w:r>
      <w:r w:rsidRPr="00F6302B">
        <w:t xml:space="preserve"> is managed </w:t>
      </w:r>
      <w:r w:rsidR="00EA34F9" w:rsidRPr="00F6302B">
        <w:t>in</w:t>
      </w:r>
      <w:r w:rsidR="00EA34F9">
        <w:t>-house</w:t>
      </w:r>
      <w:r w:rsidRPr="00F6302B">
        <w:t xml:space="preserve"> and is allocated to both public and private investments across the globe. Up to 17% of the </w:t>
      </w:r>
      <w:r w:rsidR="001748A6">
        <w:t>P</w:t>
      </w:r>
      <w:r w:rsidRPr="00F6302B">
        <w:t xml:space="preserve">ool may be allocated to private investments. This is the most illiquid investment vehicle offered to donors. </w:t>
      </w:r>
      <w:r w:rsidR="005C77E2" w:rsidRPr="00536B19">
        <w:t xml:space="preserve">The CFI Pool has </w:t>
      </w:r>
      <w:r w:rsidR="00514F3C" w:rsidRPr="00536B19">
        <w:t>investment minimums and is</w:t>
      </w:r>
      <w:r w:rsidR="00D41987" w:rsidRPr="00536B19">
        <w:t xml:space="preserve"> primarily </w:t>
      </w:r>
      <w:r w:rsidR="00B6754B" w:rsidRPr="00536B19">
        <w:t>reserved for funds that do not allow for the in</w:t>
      </w:r>
      <w:r w:rsidR="00A966E7" w:rsidRPr="00536B19">
        <w:t>vas</w:t>
      </w:r>
      <w:r w:rsidR="003E684B" w:rsidRPr="00536B19">
        <w:t xml:space="preserve">ion of principal. </w:t>
      </w:r>
      <w:r w:rsidRPr="00536B19">
        <w:t xml:space="preserve">Transfers in and out of the </w:t>
      </w:r>
      <w:r w:rsidR="001748A6">
        <w:t>P</w:t>
      </w:r>
      <w:r w:rsidRPr="00536B19">
        <w:t>ool occur only on the first business day of each month.</w:t>
      </w:r>
      <w:r w:rsidRPr="00F6302B">
        <w:t> </w:t>
      </w:r>
    </w:p>
    <w:p w14:paraId="4E488E25" w14:textId="77777777" w:rsidR="0036766A" w:rsidRDefault="0036766A" w:rsidP="00F6302B">
      <w:pPr>
        <w:spacing w:after="0" w:line="276" w:lineRule="auto"/>
        <w:jc w:val="both"/>
        <w:rPr>
          <w:b/>
          <w:bCs/>
        </w:rPr>
      </w:pPr>
    </w:p>
    <w:p w14:paraId="28FBC989" w14:textId="16B3F8B9" w:rsidR="00BC55E8" w:rsidRPr="00F6302B" w:rsidRDefault="00BC55E8" w:rsidP="00F6302B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Performance as of </w:t>
      </w:r>
      <w:r w:rsidR="0066371F">
        <w:rPr>
          <w:b/>
          <w:bCs/>
        </w:rPr>
        <w:t>03/31/2026</w:t>
      </w:r>
    </w:p>
    <w:tbl>
      <w:tblPr>
        <w:tblStyle w:val="TableGrid"/>
        <w:tblW w:w="3860" w:type="pct"/>
        <w:tblLook w:val="04A0" w:firstRow="1" w:lastRow="0" w:firstColumn="1" w:lastColumn="0" w:noHBand="0" w:noVBand="1"/>
      </w:tblPr>
      <w:tblGrid>
        <w:gridCol w:w="1365"/>
        <w:gridCol w:w="967"/>
        <w:gridCol w:w="967"/>
        <w:gridCol w:w="1015"/>
        <w:gridCol w:w="968"/>
        <w:gridCol w:w="968"/>
        <w:gridCol w:w="968"/>
      </w:tblGrid>
      <w:tr w:rsidR="0036766A" w:rsidRPr="00F6302B" w14:paraId="3E00428B" w14:textId="77777777">
        <w:tc>
          <w:tcPr>
            <w:tcW w:w="875" w:type="pct"/>
          </w:tcPr>
          <w:p w14:paraId="5081F150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bookmarkStart w:id="1" w:name="_Hlk171520523"/>
          </w:p>
        </w:tc>
        <w:tc>
          <w:tcPr>
            <w:tcW w:w="682" w:type="pct"/>
          </w:tcPr>
          <w:p w14:paraId="24137C08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QTR</w:t>
            </w:r>
          </w:p>
        </w:tc>
        <w:tc>
          <w:tcPr>
            <w:tcW w:w="682" w:type="pct"/>
          </w:tcPr>
          <w:p w14:paraId="1A89FCF3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YTD</w:t>
            </w:r>
          </w:p>
        </w:tc>
        <w:tc>
          <w:tcPr>
            <w:tcW w:w="715" w:type="pct"/>
          </w:tcPr>
          <w:p w14:paraId="3AB9B90A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 Year</w:t>
            </w:r>
          </w:p>
        </w:tc>
        <w:tc>
          <w:tcPr>
            <w:tcW w:w="682" w:type="pct"/>
          </w:tcPr>
          <w:p w14:paraId="01FC8868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3 Years</w:t>
            </w:r>
          </w:p>
        </w:tc>
        <w:tc>
          <w:tcPr>
            <w:tcW w:w="682" w:type="pct"/>
          </w:tcPr>
          <w:p w14:paraId="5009B41B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5 Years</w:t>
            </w:r>
          </w:p>
        </w:tc>
        <w:tc>
          <w:tcPr>
            <w:tcW w:w="682" w:type="pct"/>
          </w:tcPr>
          <w:p w14:paraId="1F4F3DBD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10 Years</w:t>
            </w:r>
          </w:p>
        </w:tc>
      </w:tr>
      <w:bookmarkEnd w:id="1"/>
      <w:tr w:rsidR="0036766A" w:rsidRPr="00F6302B" w14:paraId="5A156F13" w14:textId="77777777">
        <w:tc>
          <w:tcPr>
            <w:tcW w:w="875" w:type="pct"/>
          </w:tcPr>
          <w:p w14:paraId="2B05A1E5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CFI Pool</w:t>
            </w:r>
          </w:p>
        </w:tc>
        <w:tc>
          <w:tcPr>
            <w:tcW w:w="682" w:type="pct"/>
          </w:tcPr>
          <w:p w14:paraId="1220880A" w14:textId="0737FCAD" w:rsidR="0036766A" w:rsidRPr="00F6302B" w:rsidRDefault="00B66999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-1.32%</w:t>
            </w:r>
          </w:p>
        </w:tc>
        <w:tc>
          <w:tcPr>
            <w:tcW w:w="682" w:type="pct"/>
          </w:tcPr>
          <w:p w14:paraId="050FA3CE" w14:textId="673068D1" w:rsidR="0036766A" w:rsidRPr="00F6302B" w:rsidRDefault="000807A9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-1.32%</w:t>
            </w:r>
          </w:p>
        </w:tc>
        <w:tc>
          <w:tcPr>
            <w:tcW w:w="715" w:type="pct"/>
          </w:tcPr>
          <w:p w14:paraId="440BC3D8" w14:textId="1B481E36" w:rsidR="0036766A" w:rsidRPr="00F6302B" w:rsidRDefault="000807A9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12.95%</w:t>
            </w:r>
          </w:p>
        </w:tc>
        <w:tc>
          <w:tcPr>
            <w:tcW w:w="682" w:type="pct"/>
          </w:tcPr>
          <w:p w14:paraId="1264FD2E" w14:textId="138175E2" w:rsidR="0036766A" w:rsidRPr="00F6302B" w:rsidRDefault="000807A9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10.73%</w:t>
            </w:r>
          </w:p>
        </w:tc>
        <w:tc>
          <w:tcPr>
            <w:tcW w:w="682" w:type="pct"/>
          </w:tcPr>
          <w:p w14:paraId="47517AAB" w14:textId="1A49A985" w:rsidR="0036766A" w:rsidRPr="00F6302B" w:rsidRDefault="000807A9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5.84%</w:t>
            </w:r>
          </w:p>
        </w:tc>
        <w:tc>
          <w:tcPr>
            <w:tcW w:w="682" w:type="pct"/>
          </w:tcPr>
          <w:p w14:paraId="1BDBCB5D" w14:textId="5C71736D" w:rsidR="0036766A" w:rsidRPr="00F6302B" w:rsidRDefault="000807A9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7.93%</w:t>
            </w:r>
          </w:p>
        </w:tc>
      </w:tr>
      <w:tr w:rsidR="0036766A" w:rsidRPr="00F6302B" w14:paraId="1FA0DE46" w14:textId="77777777">
        <w:tc>
          <w:tcPr>
            <w:tcW w:w="875" w:type="pct"/>
          </w:tcPr>
          <w:p w14:paraId="0352FFE7" w14:textId="77777777" w:rsidR="0036766A" w:rsidRPr="00F6302B" w:rsidRDefault="0036766A" w:rsidP="00F6302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6302B">
              <w:rPr>
                <w:b/>
                <w:bCs/>
                <w:sz w:val="22"/>
                <w:szCs w:val="22"/>
              </w:rPr>
              <w:t>Benchmark</w:t>
            </w:r>
          </w:p>
        </w:tc>
        <w:tc>
          <w:tcPr>
            <w:tcW w:w="682" w:type="pct"/>
          </w:tcPr>
          <w:p w14:paraId="222FE5C9" w14:textId="73E8C4D4" w:rsidR="0036766A" w:rsidRPr="00F6302B" w:rsidRDefault="00DF075E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-1.34%</w:t>
            </w:r>
          </w:p>
        </w:tc>
        <w:tc>
          <w:tcPr>
            <w:tcW w:w="682" w:type="pct"/>
          </w:tcPr>
          <w:p w14:paraId="228F1196" w14:textId="4AF4D433" w:rsidR="0036766A" w:rsidRPr="00F6302B" w:rsidRDefault="00DF075E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-1.34%</w:t>
            </w:r>
          </w:p>
        </w:tc>
        <w:tc>
          <w:tcPr>
            <w:tcW w:w="715" w:type="pct"/>
          </w:tcPr>
          <w:p w14:paraId="65A26F7F" w14:textId="11B7ED03" w:rsidR="0036766A" w:rsidRPr="00F6302B" w:rsidRDefault="00DF075E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14.44%</w:t>
            </w:r>
          </w:p>
        </w:tc>
        <w:tc>
          <w:tcPr>
            <w:tcW w:w="682" w:type="pct"/>
          </w:tcPr>
          <w:p w14:paraId="239C4A55" w14:textId="07156F73" w:rsidR="0036766A" w:rsidRPr="00F6302B" w:rsidRDefault="002762FF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11.14%</w:t>
            </w:r>
          </w:p>
        </w:tc>
        <w:tc>
          <w:tcPr>
            <w:tcW w:w="682" w:type="pct"/>
          </w:tcPr>
          <w:p w14:paraId="3DDC67A2" w14:textId="33626951" w:rsidR="0036766A" w:rsidRPr="00F6302B" w:rsidRDefault="002762FF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6.10%</w:t>
            </w:r>
          </w:p>
        </w:tc>
        <w:tc>
          <w:tcPr>
            <w:tcW w:w="682" w:type="pct"/>
          </w:tcPr>
          <w:p w14:paraId="4B809A00" w14:textId="27E5086A" w:rsidR="0036766A" w:rsidRPr="00F6302B" w:rsidRDefault="002762FF" w:rsidP="00F6302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8.19%</w:t>
            </w:r>
          </w:p>
        </w:tc>
      </w:tr>
    </w:tbl>
    <w:p w14:paraId="797BE8F6" w14:textId="65DDDD98" w:rsidR="0036766A" w:rsidRPr="00F6302B" w:rsidRDefault="0036766A" w:rsidP="00F6302B">
      <w:pPr>
        <w:spacing w:after="0" w:line="276" w:lineRule="auto"/>
        <w:jc w:val="both"/>
      </w:pPr>
      <w:r w:rsidRPr="00F6302B">
        <w:t>Benchmark: CFI Pool Policy Benchmark</w:t>
      </w:r>
    </w:p>
    <w:p w14:paraId="6C707CDB" w14:textId="77777777" w:rsidR="00EC032C" w:rsidRDefault="00EC032C" w:rsidP="00B209EE">
      <w:pPr>
        <w:tabs>
          <w:tab w:val="left" w:pos="720"/>
        </w:tabs>
        <w:spacing w:after="0"/>
        <w:rPr>
          <w:color w:val="000000"/>
        </w:rPr>
      </w:pPr>
    </w:p>
    <w:p w14:paraId="0EFB1DA3" w14:textId="542E43EC" w:rsidR="00B209EE" w:rsidRPr="00F6302B" w:rsidRDefault="00A90603" w:rsidP="00B209EE">
      <w:pPr>
        <w:tabs>
          <w:tab w:val="left" w:pos="720"/>
        </w:tabs>
        <w:spacing w:after="0"/>
        <w:rPr>
          <w:color w:val="000000"/>
        </w:rPr>
      </w:pPr>
      <w:hyperlink r:id="rId13" w:history="1">
        <w:r w:rsidRPr="00A90603">
          <w:rPr>
            <w:rStyle w:val="Hyperlink"/>
          </w:rPr>
          <w:t>Click here for more information:</w:t>
        </w:r>
      </w:hyperlink>
    </w:p>
    <w:sectPr w:rsidR="00B209EE" w:rsidRPr="00F6302B" w:rsidSect="007B0042">
      <w:headerReference w:type="default" r:id="rId14"/>
      <w:footerReference w:type="default" r:id="rId15"/>
      <w:pgSz w:w="12240" w:h="15840" w:code="1"/>
      <w:pgMar w:top="1440" w:right="1440" w:bottom="144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F7FB" w14:textId="77777777" w:rsidR="00140607" w:rsidRDefault="00140607" w:rsidP="007B0042">
      <w:pPr>
        <w:spacing w:after="0" w:line="240" w:lineRule="auto"/>
      </w:pPr>
      <w:r>
        <w:separator/>
      </w:r>
    </w:p>
  </w:endnote>
  <w:endnote w:type="continuationSeparator" w:id="0">
    <w:p w14:paraId="448EBCAE" w14:textId="77777777" w:rsidR="00140607" w:rsidRDefault="00140607" w:rsidP="007B0042">
      <w:pPr>
        <w:spacing w:after="0" w:line="240" w:lineRule="auto"/>
      </w:pPr>
      <w:r>
        <w:continuationSeparator/>
      </w:r>
    </w:p>
  </w:endnote>
  <w:endnote w:type="continuationNotice" w:id="1">
    <w:p w14:paraId="39948A01" w14:textId="77777777" w:rsidR="00140607" w:rsidRDefault="00140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ociate Sans Medium">
    <w:altName w:val="Calibri"/>
    <w:panose1 w:val="00000000000000000000"/>
    <w:charset w:val="00"/>
    <w:family w:val="auto"/>
    <w:pitch w:val="variable"/>
    <w:sig w:usb0="8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F5D5" w14:textId="77777777" w:rsidR="007B0042" w:rsidRPr="007B0042" w:rsidRDefault="007B0042" w:rsidP="007B0042">
    <w:pPr>
      <w:pStyle w:val="Footer"/>
      <w:ind w:left="720"/>
      <w:rPr>
        <w:rFonts w:ascii="Associate Sans Medium" w:hAnsi="Associate Sans Medium"/>
        <w:sz w:val="20"/>
        <w:szCs w:val="20"/>
      </w:rPr>
    </w:pPr>
    <w:r w:rsidRPr="007B0042">
      <w:rPr>
        <w:rFonts w:ascii="Associate Sans Medium" w:hAnsi="Associate Sans Medium"/>
        <w:color w:val="008566"/>
        <w:sz w:val="20"/>
        <w:szCs w:val="20"/>
      </w:rPr>
      <w:t>For New York.                                                                            New York Office</w:t>
    </w:r>
    <w:r w:rsidRPr="007B0042">
      <w:rPr>
        <w:rFonts w:ascii="Associate Sans Medium" w:hAnsi="Associate Sans Medium"/>
        <w:color w:val="008566"/>
        <w:sz w:val="20"/>
        <w:szCs w:val="20"/>
      </w:rPr>
      <w:br/>
      <w:t xml:space="preserve">Forever.                                                                                        </w:t>
    </w:r>
    <w:r w:rsidRPr="007B0042">
      <w:rPr>
        <w:rFonts w:ascii="Associate Sans Medium" w:hAnsi="Associate Sans Medium"/>
        <w:sz w:val="20"/>
        <w:szCs w:val="20"/>
      </w:rPr>
      <w:t>909 Third Avenue, 22</w:t>
    </w:r>
    <w:r w:rsidRPr="007B0042">
      <w:rPr>
        <w:rFonts w:ascii="Associate Sans Medium" w:hAnsi="Associate Sans Medium"/>
        <w:sz w:val="20"/>
        <w:szCs w:val="20"/>
        <w:vertAlign w:val="superscript"/>
      </w:rPr>
      <w:t>nd</w:t>
    </w:r>
    <w:r w:rsidRPr="007B0042">
      <w:rPr>
        <w:rFonts w:ascii="Associate Sans Medium" w:hAnsi="Associate Sans Medium"/>
        <w:sz w:val="20"/>
        <w:szCs w:val="20"/>
      </w:rPr>
      <w:t xml:space="preserve"> Floor</w:t>
    </w:r>
    <w:r w:rsidRPr="007B0042">
      <w:rPr>
        <w:rFonts w:ascii="Associate Sans Medium" w:hAnsi="Associate Sans Medium"/>
        <w:sz w:val="20"/>
        <w:szCs w:val="20"/>
      </w:rPr>
      <w:br/>
      <w:t>thenytrust.org                                                                           New York, NY 10022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B3B9" w14:textId="77777777" w:rsidR="00140607" w:rsidRDefault="00140607" w:rsidP="007B0042">
      <w:pPr>
        <w:spacing w:after="0" w:line="240" w:lineRule="auto"/>
      </w:pPr>
      <w:r>
        <w:separator/>
      </w:r>
    </w:p>
  </w:footnote>
  <w:footnote w:type="continuationSeparator" w:id="0">
    <w:p w14:paraId="681131D3" w14:textId="77777777" w:rsidR="00140607" w:rsidRDefault="00140607" w:rsidP="007B0042">
      <w:pPr>
        <w:spacing w:after="0" w:line="240" w:lineRule="auto"/>
      </w:pPr>
      <w:r>
        <w:continuationSeparator/>
      </w:r>
    </w:p>
  </w:footnote>
  <w:footnote w:type="continuationNotice" w:id="1">
    <w:p w14:paraId="0B984F5E" w14:textId="77777777" w:rsidR="00140607" w:rsidRDefault="001406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85D7" w14:textId="77777777" w:rsidR="007B0042" w:rsidRDefault="007B0042" w:rsidP="007B0042">
    <w:pPr>
      <w:pStyle w:val="Header"/>
      <w:tabs>
        <w:tab w:val="left" w:pos="810"/>
      </w:tabs>
      <w:ind w:left="810"/>
    </w:pPr>
    <w:r>
      <w:rPr>
        <w:noProof/>
      </w:rPr>
      <w:drawing>
        <wp:anchor distT="0" distB="0" distL="0" distR="0" simplePos="0" relativeHeight="251658240" behindDoc="1" locked="1" layoutInCell="1" allowOverlap="0" wp14:anchorId="51683A51" wp14:editId="269217A9">
          <wp:simplePos x="0" y="0"/>
          <wp:positionH relativeFrom="margin">
            <wp:posOffset>451262</wp:posOffset>
          </wp:positionH>
          <wp:positionV relativeFrom="page">
            <wp:posOffset>700644</wp:posOffset>
          </wp:positionV>
          <wp:extent cx="1938528" cy="685800"/>
          <wp:effectExtent l="0" t="0" r="5080" b="0"/>
          <wp:wrapTopAndBottom/>
          <wp:docPr id="801264686" name="Image 2" descr="A close up of a black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84249" name="Image 2" descr="A close up of a black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528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1" layoutInCell="1" allowOverlap="0" wp14:anchorId="4DA266E4" wp14:editId="6A52110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91056" cy="1746504"/>
              <wp:effectExtent l="0" t="0" r="28575" b="25400"/>
              <wp:wrapTopAndBottom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1056" cy="174650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93850" h="1746250">
                            <a:moveTo>
                              <a:pt x="0" y="0"/>
                            </a:moveTo>
                            <a:lnTo>
                              <a:pt x="4491" y="57478"/>
                            </a:lnTo>
                            <a:lnTo>
                              <a:pt x="18939" y="122352"/>
                            </a:lnTo>
                            <a:lnTo>
                              <a:pt x="44803" y="191174"/>
                            </a:lnTo>
                            <a:lnTo>
                              <a:pt x="62471" y="225987"/>
                            </a:lnTo>
                            <a:lnTo>
                              <a:pt x="83541" y="260492"/>
                            </a:lnTo>
                            <a:lnTo>
                              <a:pt x="108194" y="294260"/>
                            </a:lnTo>
                            <a:lnTo>
                              <a:pt x="136613" y="326858"/>
                            </a:lnTo>
                            <a:lnTo>
                              <a:pt x="168979" y="357855"/>
                            </a:lnTo>
                            <a:lnTo>
                              <a:pt x="205477" y="386821"/>
                            </a:lnTo>
                            <a:lnTo>
                              <a:pt x="246287" y="413324"/>
                            </a:lnTo>
                            <a:lnTo>
                              <a:pt x="291593" y="436932"/>
                            </a:lnTo>
                            <a:lnTo>
                              <a:pt x="341576" y="457215"/>
                            </a:lnTo>
                            <a:lnTo>
                              <a:pt x="396419" y="473741"/>
                            </a:lnTo>
                            <a:lnTo>
                              <a:pt x="456305" y="486080"/>
                            </a:lnTo>
                            <a:lnTo>
                              <a:pt x="521416" y="493799"/>
                            </a:lnTo>
                            <a:lnTo>
                              <a:pt x="591934" y="496468"/>
                            </a:lnTo>
                            <a:lnTo>
                              <a:pt x="670953" y="493146"/>
                            </a:lnTo>
                            <a:lnTo>
                              <a:pt x="737354" y="483834"/>
                            </a:lnTo>
                            <a:lnTo>
                              <a:pt x="792025" y="469513"/>
                            </a:lnTo>
                            <a:lnTo>
                              <a:pt x="835852" y="451163"/>
                            </a:lnTo>
                            <a:lnTo>
                              <a:pt x="869722" y="429767"/>
                            </a:lnTo>
                            <a:lnTo>
                              <a:pt x="911137" y="381755"/>
                            </a:lnTo>
                            <a:lnTo>
                              <a:pt x="923366" y="333324"/>
                            </a:lnTo>
                            <a:lnTo>
                              <a:pt x="919352" y="306404"/>
                            </a:lnTo>
                            <a:lnTo>
                              <a:pt x="888202" y="270943"/>
                            </a:lnTo>
                            <a:lnTo>
                              <a:pt x="846243" y="267228"/>
                            </a:lnTo>
                            <a:lnTo>
                              <a:pt x="796680" y="286700"/>
                            </a:lnTo>
                            <a:lnTo>
                              <a:pt x="761676" y="311202"/>
                            </a:lnTo>
                            <a:lnTo>
                              <a:pt x="725737" y="343717"/>
                            </a:lnTo>
                            <a:lnTo>
                              <a:pt x="689407" y="383213"/>
                            </a:lnTo>
                            <a:lnTo>
                              <a:pt x="653229" y="428659"/>
                            </a:lnTo>
                            <a:lnTo>
                              <a:pt x="617750" y="479024"/>
                            </a:lnTo>
                            <a:lnTo>
                              <a:pt x="583511" y="533276"/>
                            </a:lnTo>
                            <a:lnTo>
                              <a:pt x="551058" y="590384"/>
                            </a:lnTo>
                            <a:lnTo>
                              <a:pt x="520934" y="649316"/>
                            </a:lnTo>
                            <a:lnTo>
                              <a:pt x="493684" y="709042"/>
                            </a:lnTo>
                            <a:lnTo>
                              <a:pt x="469852" y="768529"/>
                            </a:lnTo>
                            <a:lnTo>
                              <a:pt x="449981" y="826746"/>
                            </a:lnTo>
                            <a:lnTo>
                              <a:pt x="434617" y="882662"/>
                            </a:lnTo>
                            <a:lnTo>
                              <a:pt x="424302" y="935245"/>
                            </a:lnTo>
                            <a:lnTo>
                              <a:pt x="419581" y="983465"/>
                            </a:lnTo>
                            <a:lnTo>
                              <a:pt x="420998" y="1026288"/>
                            </a:lnTo>
                            <a:lnTo>
                              <a:pt x="435824" y="1078152"/>
                            </a:lnTo>
                            <a:lnTo>
                              <a:pt x="467520" y="1112073"/>
                            </a:lnTo>
                            <a:lnTo>
                              <a:pt x="517924" y="1124573"/>
                            </a:lnTo>
                            <a:lnTo>
                              <a:pt x="539200" y="1123377"/>
                            </a:lnTo>
                            <a:lnTo>
                              <a:pt x="588872" y="1112169"/>
                            </a:lnTo>
                            <a:lnTo>
                              <a:pt x="648491" y="1088345"/>
                            </a:lnTo>
                            <a:lnTo>
                              <a:pt x="718601" y="1050875"/>
                            </a:lnTo>
                            <a:lnTo>
                              <a:pt x="757760" y="1026699"/>
                            </a:lnTo>
                            <a:lnTo>
                              <a:pt x="799745" y="998726"/>
                            </a:lnTo>
                            <a:lnTo>
                              <a:pt x="844626" y="966825"/>
                            </a:lnTo>
                            <a:lnTo>
                              <a:pt x="873636" y="946584"/>
                            </a:lnTo>
                            <a:lnTo>
                              <a:pt x="925265" y="916490"/>
                            </a:lnTo>
                            <a:lnTo>
                              <a:pt x="969035" y="899399"/>
                            </a:lnTo>
                            <a:lnTo>
                              <a:pt x="1005743" y="894288"/>
                            </a:lnTo>
                            <a:lnTo>
                              <a:pt x="1021697" y="895905"/>
                            </a:lnTo>
                            <a:lnTo>
                              <a:pt x="1061151" y="915918"/>
                            </a:lnTo>
                            <a:lnTo>
                              <a:pt x="1090084" y="955990"/>
                            </a:lnTo>
                            <a:lnTo>
                              <a:pt x="1104853" y="992145"/>
                            </a:lnTo>
                            <a:lnTo>
                              <a:pt x="1116934" y="1034661"/>
                            </a:lnTo>
                            <a:lnTo>
                              <a:pt x="1127123" y="1082516"/>
                            </a:lnTo>
                            <a:lnTo>
                              <a:pt x="1136216" y="1134688"/>
                            </a:lnTo>
                            <a:lnTo>
                              <a:pt x="1145007" y="1190155"/>
                            </a:lnTo>
                            <a:lnTo>
                              <a:pt x="1149538" y="1218806"/>
                            </a:lnTo>
                            <a:lnTo>
                              <a:pt x="1159370" y="1277301"/>
                            </a:lnTo>
                            <a:lnTo>
                              <a:pt x="1170889" y="1336537"/>
                            </a:lnTo>
                            <a:lnTo>
                              <a:pt x="1184891" y="1395493"/>
                            </a:lnTo>
                            <a:lnTo>
                              <a:pt x="1202171" y="1453147"/>
                            </a:lnTo>
                            <a:lnTo>
                              <a:pt x="1223526" y="1508477"/>
                            </a:lnTo>
                            <a:lnTo>
                              <a:pt x="1249751" y="1560462"/>
                            </a:lnTo>
                            <a:lnTo>
                              <a:pt x="1281641" y="1608079"/>
                            </a:lnTo>
                            <a:lnTo>
                              <a:pt x="1319991" y="1650307"/>
                            </a:lnTo>
                            <a:lnTo>
                              <a:pt x="1365598" y="1686124"/>
                            </a:lnTo>
                            <a:lnTo>
                              <a:pt x="1419256" y="1714509"/>
                            </a:lnTo>
                            <a:lnTo>
                              <a:pt x="1481762" y="1734440"/>
                            </a:lnTo>
                            <a:lnTo>
                              <a:pt x="1553911" y="1744895"/>
                            </a:lnTo>
                            <a:lnTo>
                              <a:pt x="1593850" y="1746250"/>
                            </a:lnTo>
                          </a:path>
                        </a:pathLst>
                      </a:custGeom>
                      <a:ln w="22225">
                        <a:solidFill>
                          <a:srgbClr val="00A8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ABCC5" id="Graphic 1" o:spid="_x0000_s1026" style="position:absolute;margin-left:74.1pt;margin-top:0;width:125.3pt;height:137.5pt;z-index:-251658239;visibility:visible;mso-wrap-style:squar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margin;mso-height-relative:margin;v-text-anchor:top" coordsize="1593850,174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6KnQUAAHASAAAOAAAAZHJzL2Uyb0RvYy54bWysWNtu20YQfS/QfyD43mhn7ytYDoIYKQoE&#10;aYC46DNNUZZQimRJ2nL+vmcvVJwUWAJF9SBR4mg4c+bMbW/evpzb4rkZp1Pf7Up6w8qi6ep+f+oe&#10;d+Uf9x9+sWUxzVW3r9q+a3bl12Yq397+/NPNZdg2vD/27b4ZCyjppu1l2JXHeR62m81UH5tzNb3p&#10;h6bDzUM/nqsZX8fHzX6sLtB+bjecMb259ON+GPu6mSb8ehdvlrdB/+HQ1PPvh8PUzEW7K2HbHN7H&#10;8P7g3ze3N9X2cayG46lOZlT/wYpzderw0Kuqu2quiqfx9C9V51M99lN/mN/U/XnTHw6nugk+wBti&#10;P3jz5VgNTfAF4EzDFabp/1Nbf3r+MnwevenT8LGv/5qAyOYyTNvrHf9lSjIvh/HsZWF48RJQ/HpF&#10;sXmZixo/knLElC6LGvfISK2Y9Dhvqu3y9/ppmn9t+qCqev44zTEM++WqOi5X9Uu3XI4Ipg9jG8I4&#10;lwXCOJYFwvgQwzhUs/+ft89fFpdgi7AKgT9GUziu/f1z/9zc90Fy/sERmPntbtu9lpLSUVnAK2Wk&#10;scmnRWT5HIJCsk64IEucC8WzwlJaJqKwIyCWFdZcmmgF58pZkxW2QskkrJl0eTOIWXIy2MGd5Dpk&#10;B+BYPFs+k4dCa4pWC66tWsFDW2ciIEIZq1TWbM6UNCZYIqy2nPLSUnPg4AMjSQiex487EDTaLYV2&#10;Io+JkKQMuOx1K8Mpb7dwWlL0UhphAH3k/YLc8hkRlEoLpqJuq5nN4604SUqWOGGcy+pGDjoRYylh&#10;lM5HRxvmVMLECZI6qxuegVbJbmHxmJyXxnHGk5faKVAmJw3CWmRLxJtIr0hrZ3iS5s7ofDIgt0gs&#10;rCKzwkHHBRgeLBF4rbDKw53sFkzLa8VbIr58xshbawFK0M0BvVzxEvyGiMeEa/ibj6VxWoNKQdoi&#10;sHlWGU068VsQeaNy0TFcIfgREykM5fFGyku24C34SuS1Epyn3OFWqzy/NRnj67rPS+PYSnQUaEWp&#10;dCOUcDjnpVLoX5hboFs5Jmye34qzJdO0RPLkdUNCQ6HXjcAzmcdbardkg0GJBTw5u9GenI1eWhBl&#10;JYulkAAxWAI2ar1iCRiYGOuJLvN1EEVQJUsc6oNekQaCLuJNjKOW5wkuUSIQbw8hMWNprblqgxBF&#10;cc9wk082RShYSTvBzzVxgfK2aEfFQNfKhUgh801MfBQjTjofUS3tMnKgOQPJPJCG0EYiAcBgZs2K&#10;uDIGTT4CCQastBS0HAMDvDjCZXie6FaiasXy6QsSOkAOF2uEFkkadFlJOccVB6eCJYSky5c4p5HE&#10;Udo6TGV5yIkxTHex2qJ+rZERhEUQUxo5lIu8n8Q0kYoh8nMI5alOKBEslQunlFvxlIhJm/q4c5gX&#10;VoxBf11KFzGkqc7PKyCsIR6hAR25Wql16LYa6KTUg/6VxCYYzFLDIHKMVjo05DG1pMLByVqWpySQ&#10;x+CUCM+NEciVHCkxiiPp0hSPYUCh9eXlrbRpQyDhFGp9Xh7tltIsD9cxd63oD5tEwhPp7UfkrD1c&#10;OpPIRgrz/0qNJ26RTal++HkUA3tWvyDnFn+x5QnELi+vweEUL201ymteHm2E+0XSV3rjybFij7Rk&#10;4GOUF1LKfGEAvwRmwiSPJcyt5AvoE5bJYA/QxADy2l+sSn7vDJvudRfFj6+33bbzaynHS4VFdOrb&#10;0/7DqW39LjqNjw/v27F4rvxpBXuHZpEe8J3YME7zXTUdo1y4dbUjLe9xX/eb+0O///p5LC444tiV&#10;099P1diURftbhzMEZMK8XIzLxcNyMc7t+z6cmoQ1Gc+8f/mzGofCP35Xzlj3P/XLCUW1XdZ4D8JV&#10;1v+z6989zf3h5Hf8cLAQLUpfcKwR8EpHMP7c5PX3IPXtoOj2HwAAAP//AwBQSwMEFAAGAAgAAAAh&#10;AGLBsXvcAAAABQEAAA8AAABkcnMvZG93bnJldi54bWxMj8FOwzAQRO9I/IO1SNyo3YoWlMapQgUS&#10;h0qowR/gxtskIl6H2G3D37NwgctqVrOaeZtvJt+LM46xC6RhPlMgkOrgOmo0mPeXu0cQMVlytg+E&#10;Gr4wwqa4vspt5sKF9niuUiM4hGJmNbQpDZmUsW7R2zgLAxJ7xzB6m3gdG+lGe+Fw38uFUivpbUfc&#10;0NoBty3WH9XJa2jMZ72L5evzm3nal+Z+G+eV2Wl9ezOVaxAJp/R3DD/4jA4FMx3CiVwUvQZ+JP1O&#10;9hZLtQJxYPGwVCCLXP6nL74BAAD//wMAUEsBAi0AFAAGAAgAAAAhALaDOJL+AAAA4QEAABMAAAAA&#10;AAAAAAAAAAAAAAAAAFtDb250ZW50X1R5cGVzXS54bWxQSwECLQAUAAYACAAAACEAOP0h/9YAAACU&#10;AQAACwAAAAAAAAAAAAAAAAAvAQAAX3JlbHMvLnJlbHNQSwECLQAUAAYACAAAACEAkV7uip0FAABw&#10;EgAADgAAAAAAAAAAAAAAAAAuAgAAZHJzL2Uyb0RvYy54bWxQSwECLQAUAAYACAAAACEAYsGxe9wA&#10;AAAFAQAADwAAAAAAAAAAAAAAAAD3BwAAZHJzL2Rvd25yZXYueG1sUEsFBgAAAAAEAAQA8wAAAAAJ&#10;AAAAAA==&#10;" o:allowoverlap="f" path="m,l4491,57478r14448,64874l44803,191174r17668,34813l83541,260492r24653,33768l136613,326858r32366,30997l205477,386821r40810,26503l291593,436932r49983,20283l396419,473741r59886,12339l521416,493799r70518,2669l670953,493146r66401,-9312l792025,469513r43827,-18350l869722,429767r41415,-48012l923366,333324r-4014,-26920l888202,270943r-41959,-3715l796680,286700r-35004,24502l725737,343717r-36330,39496l653229,428659r-35479,50365l583511,533276r-32453,57108l520934,649316r-27250,59726l469852,768529r-19871,58217l434617,882662r-10315,52583l419581,983465r1417,42823l435824,1078152r31696,33921l517924,1124573r21276,-1196l588872,1112169r59619,-23824l718601,1050875r39159,-24176l799745,998726r44881,-31901l873636,946584r51629,-30094l969035,899399r36708,-5111l1021697,895905r39454,20013l1090084,955990r14769,36155l1116934,1034661r10189,47855l1136216,1134688r8791,55467l1149538,1218806r9832,58495l1170889,1336537r14002,58956l1202171,1453147r21355,55330l1249751,1560462r31890,47617l1319991,1650307r45607,35817l1419256,1714509r62506,19931l1553911,1744895r39939,1355e" filled="f" strokecolor="#00a888" strokeweight="1.75pt">
              <v:path arrowok="t"/>
              <w10:wrap type="topAndBottom"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2C"/>
    <w:rsid w:val="00016E08"/>
    <w:rsid w:val="000242CA"/>
    <w:rsid w:val="00040FF5"/>
    <w:rsid w:val="000475DD"/>
    <w:rsid w:val="000721FB"/>
    <w:rsid w:val="00072A5A"/>
    <w:rsid w:val="000807A9"/>
    <w:rsid w:val="00081026"/>
    <w:rsid w:val="00085A9A"/>
    <w:rsid w:val="0008793F"/>
    <w:rsid w:val="00096382"/>
    <w:rsid w:val="000A625D"/>
    <w:rsid w:val="000A7F50"/>
    <w:rsid w:val="000E2983"/>
    <w:rsid w:val="001075AD"/>
    <w:rsid w:val="00123415"/>
    <w:rsid w:val="00140607"/>
    <w:rsid w:val="00151A12"/>
    <w:rsid w:val="00172054"/>
    <w:rsid w:val="00173B42"/>
    <w:rsid w:val="001748A6"/>
    <w:rsid w:val="00187156"/>
    <w:rsid w:val="00191C8A"/>
    <w:rsid w:val="0019709D"/>
    <w:rsid w:val="001B67A7"/>
    <w:rsid w:val="001B6A7A"/>
    <w:rsid w:val="001C1301"/>
    <w:rsid w:val="001C193A"/>
    <w:rsid w:val="001C4AB3"/>
    <w:rsid w:val="001D5A2B"/>
    <w:rsid w:val="001F310A"/>
    <w:rsid w:val="001F7281"/>
    <w:rsid w:val="00207A59"/>
    <w:rsid w:val="00210342"/>
    <w:rsid w:val="00215882"/>
    <w:rsid w:val="00224F65"/>
    <w:rsid w:val="002455DE"/>
    <w:rsid w:val="00267272"/>
    <w:rsid w:val="00275E4B"/>
    <w:rsid w:val="002762FF"/>
    <w:rsid w:val="002836D4"/>
    <w:rsid w:val="00290BB2"/>
    <w:rsid w:val="00291613"/>
    <w:rsid w:val="002A2E50"/>
    <w:rsid w:val="002A37FD"/>
    <w:rsid w:val="002A47AA"/>
    <w:rsid w:val="002B17CE"/>
    <w:rsid w:val="002B3BC8"/>
    <w:rsid w:val="002D292C"/>
    <w:rsid w:val="002D32CC"/>
    <w:rsid w:val="002D4768"/>
    <w:rsid w:val="002E111A"/>
    <w:rsid w:val="002F1345"/>
    <w:rsid w:val="002F3766"/>
    <w:rsid w:val="002F5CB9"/>
    <w:rsid w:val="00315ECD"/>
    <w:rsid w:val="003430F1"/>
    <w:rsid w:val="003452ED"/>
    <w:rsid w:val="00363B6F"/>
    <w:rsid w:val="0036766A"/>
    <w:rsid w:val="003847C7"/>
    <w:rsid w:val="003943C3"/>
    <w:rsid w:val="003A34D0"/>
    <w:rsid w:val="003C3DE1"/>
    <w:rsid w:val="003C41FD"/>
    <w:rsid w:val="003C5C78"/>
    <w:rsid w:val="003E684B"/>
    <w:rsid w:val="003F45B9"/>
    <w:rsid w:val="00402722"/>
    <w:rsid w:val="004058C2"/>
    <w:rsid w:val="0042408D"/>
    <w:rsid w:val="004257D0"/>
    <w:rsid w:val="004304E1"/>
    <w:rsid w:val="00440682"/>
    <w:rsid w:val="004527A4"/>
    <w:rsid w:val="0045433B"/>
    <w:rsid w:val="00455C72"/>
    <w:rsid w:val="004737CE"/>
    <w:rsid w:val="00474CD8"/>
    <w:rsid w:val="00485A8D"/>
    <w:rsid w:val="004909DA"/>
    <w:rsid w:val="004B4FA4"/>
    <w:rsid w:val="004C10EE"/>
    <w:rsid w:val="004E2FE8"/>
    <w:rsid w:val="004E7CE6"/>
    <w:rsid w:val="004F6CC4"/>
    <w:rsid w:val="00514F3C"/>
    <w:rsid w:val="00531359"/>
    <w:rsid w:val="00532375"/>
    <w:rsid w:val="00532E5E"/>
    <w:rsid w:val="00536B19"/>
    <w:rsid w:val="00553A36"/>
    <w:rsid w:val="00577E80"/>
    <w:rsid w:val="00595C81"/>
    <w:rsid w:val="005A145E"/>
    <w:rsid w:val="005A1DB6"/>
    <w:rsid w:val="005A53C5"/>
    <w:rsid w:val="005C44D3"/>
    <w:rsid w:val="005C77E2"/>
    <w:rsid w:val="005E786D"/>
    <w:rsid w:val="005F7379"/>
    <w:rsid w:val="00607E50"/>
    <w:rsid w:val="0061326A"/>
    <w:rsid w:val="00616807"/>
    <w:rsid w:val="006218DE"/>
    <w:rsid w:val="00623519"/>
    <w:rsid w:val="00624843"/>
    <w:rsid w:val="00630BE5"/>
    <w:rsid w:val="0063209E"/>
    <w:rsid w:val="006438B2"/>
    <w:rsid w:val="00644A17"/>
    <w:rsid w:val="006476FB"/>
    <w:rsid w:val="00651700"/>
    <w:rsid w:val="0066371F"/>
    <w:rsid w:val="0066396A"/>
    <w:rsid w:val="00674FE6"/>
    <w:rsid w:val="00676664"/>
    <w:rsid w:val="00692831"/>
    <w:rsid w:val="006A6D35"/>
    <w:rsid w:val="006C1EF5"/>
    <w:rsid w:val="006C43C0"/>
    <w:rsid w:val="006D08BD"/>
    <w:rsid w:val="006D387E"/>
    <w:rsid w:val="006D606D"/>
    <w:rsid w:val="006E3B9C"/>
    <w:rsid w:val="006E4353"/>
    <w:rsid w:val="006F0D0D"/>
    <w:rsid w:val="006F44BF"/>
    <w:rsid w:val="006F7452"/>
    <w:rsid w:val="00711025"/>
    <w:rsid w:val="00721042"/>
    <w:rsid w:val="007358A8"/>
    <w:rsid w:val="00737AAD"/>
    <w:rsid w:val="007411F0"/>
    <w:rsid w:val="007501E0"/>
    <w:rsid w:val="00753EA6"/>
    <w:rsid w:val="007551E0"/>
    <w:rsid w:val="00763CDB"/>
    <w:rsid w:val="007679D4"/>
    <w:rsid w:val="0079074C"/>
    <w:rsid w:val="00791245"/>
    <w:rsid w:val="00797710"/>
    <w:rsid w:val="007B0042"/>
    <w:rsid w:val="007B36D3"/>
    <w:rsid w:val="007B3F78"/>
    <w:rsid w:val="007C5404"/>
    <w:rsid w:val="007D0FE3"/>
    <w:rsid w:val="007E7B05"/>
    <w:rsid w:val="008004DF"/>
    <w:rsid w:val="00805C07"/>
    <w:rsid w:val="0080618B"/>
    <w:rsid w:val="0082127C"/>
    <w:rsid w:val="00822385"/>
    <w:rsid w:val="00845D79"/>
    <w:rsid w:val="00860C51"/>
    <w:rsid w:val="00866EF6"/>
    <w:rsid w:val="00882AD7"/>
    <w:rsid w:val="008855BA"/>
    <w:rsid w:val="008872C9"/>
    <w:rsid w:val="00890A9D"/>
    <w:rsid w:val="00891A50"/>
    <w:rsid w:val="00893597"/>
    <w:rsid w:val="008A52C7"/>
    <w:rsid w:val="008B0FF1"/>
    <w:rsid w:val="008B6388"/>
    <w:rsid w:val="008C2AF1"/>
    <w:rsid w:val="008C6DA4"/>
    <w:rsid w:val="008D25FC"/>
    <w:rsid w:val="008D50FC"/>
    <w:rsid w:val="008D5A51"/>
    <w:rsid w:val="008E1031"/>
    <w:rsid w:val="008E3082"/>
    <w:rsid w:val="008E7114"/>
    <w:rsid w:val="008F4495"/>
    <w:rsid w:val="0090299F"/>
    <w:rsid w:val="0091396C"/>
    <w:rsid w:val="009443A5"/>
    <w:rsid w:val="009543D0"/>
    <w:rsid w:val="0095490D"/>
    <w:rsid w:val="00964BC2"/>
    <w:rsid w:val="00971761"/>
    <w:rsid w:val="009815CA"/>
    <w:rsid w:val="009912CC"/>
    <w:rsid w:val="009A2CD7"/>
    <w:rsid w:val="009B522C"/>
    <w:rsid w:val="009C2943"/>
    <w:rsid w:val="009C4258"/>
    <w:rsid w:val="009E7298"/>
    <w:rsid w:val="00A04D9B"/>
    <w:rsid w:val="00A05620"/>
    <w:rsid w:val="00A0622A"/>
    <w:rsid w:val="00A40FB6"/>
    <w:rsid w:val="00A43114"/>
    <w:rsid w:val="00A4422B"/>
    <w:rsid w:val="00A726DA"/>
    <w:rsid w:val="00A75416"/>
    <w:rsid w:val="00A75D45"/>
    <w:rsid w:val="00A826A6"/>
    <w:rsid w:val="00A90603"/>
    <w:rsid w:val="00A94A10"/>
    <w:rsid w:val="00A966E7"/>
    <w:rsid w:val="00A97546"/>
    <w:rsid w:val="00AA1177"/>
    <w:rsid w:val="00AA17E8"/>
    <w:rsid w:val="00AB2BD8"/>
    <w:rsid w:val="00AC36BA"/>
    <w:rsid w:val="00AE2508"/>
    <w:rsid w:val="00AE7565"/>
    <w:rsid w:val="00AF60A1"/>
    <w:rsid w:val="00AF62FB"/>
    <w:rsid w:val="00B209EE"/>
    <w:rsid w:val="00B2306E"/>
    <w:rsid w:val="00B54F91"/>
    <w:rsid w:val="00B5629C"/>
    <w:rsid w:val="00B66999"/>
    <w:rsid w:val="00B6754B"/>
    <w:rsid w:val="00B721F7"/>
    <w:rsid w:val="00B9415D"/>
    <w:rsid w:val="00BA75CE"/>
    <w:rsid w:val="00BC55E8"/>
    <w:rsid w:val="00BE413C"/>
    <w:rsid w:val="00BE641D"/>
    <w:rsid w:val="00BF040A"/>
    <w:rsid w:val="00BF085A"/>
    <w:rsid w:val="00BF3FB8"/>
    <w:rsid w:val="00C01850"/>
    <w:rsid w:val="00C03110"/>
    <w:rsid w:val="00C07155"/>
    <w:rsid w:val="00C078DF"/>
    <w:rsid w:val="00C11E63"/>
    <w:rsid w:val="00C14657"/>
    <w:rsid w:val="00C155B3"/>
    <w:rsid w:val="00C2128A"/>
    <w:rsid w:val="00C24230"/>
    <w:rsid w:val="00C54C06"/>
    <w:rsid w:val="00C7480F"/>
    <w:rsid w:val="00C75566"/>
    <w:rsid w:val="00C81FA4"/>
    <w:rsid w:val="00C86205"/>
    <w:rsid w:val="00C94A06"/>
    <w:rsid w:val="00CA1D6A"/>
    <w:rsid w:val="00CC3681"/>
    <w:rsid w:val="00CC401D"/>
    <w:rsid w:val="00CD5842"/>
    <w:rsid w:val="00CE63C8"/>
    <w:rsid w:val="00D06387"/>
    <w:rsid w:val="00D113A8"/>
    <w:rsid w:val="00D212F0"/>
    <w:rsid w:val="00D34E4A"/>
    <w:rsid w:val="00D41987"/>
    <w:rsid w:val="00D43497"/>
    <w:rsid w:val="00D83311"/>
    <w:rsid w:val="00D85497"/>
    <w:rsid w:val="00D87CA8"/>
    <w:rsid w:val="00DA26D9"/>
    <w:rsid w:val="00DA708F"/>
    <w:rsid w:val="00DE45E0"/>
    <w:rsid w:val="00DE7127"/>
    <w:rsid w:val="00DF075E"/>
    <w:rsid w:val="00DF2B78"/>
    <w:rsid w:val="00DF2FC7"/>
    <w:rsid w:val="00DF4BAB"/>
    <w:rsid w:val="00E02A32"/>
    <w:rsid w:val="00E06BBF"/>
    <w:rsid w:val="00E10363"/>
    <w:rsid w:val="00E22394"/>
    <w:rsid w:val="00E40EC0"/>
    <w:rsid w:val="00E469C7"/>
    <w:rsid w:val="00E95B8D"/>
    <w:rsid w:val="00EA34F9"/>
    <w:rsid w:val="00EB1909"/>
    <w:rsid w:val="00EC032C"/>
    <w:rsid w:val="00ED3650"/>
    <w:rsid w:val="00ED369A"/>
    <w:rsid w:val="00EE1E2F"/>
    <w:rsid w:val="00F14A28"/>
    <w:rsid w:val="00F1621D"/>
    <w:rsid w:val="00F27A34"/>
    <w:rsid w:val="00F37F34"/>
    <w:rsid w:val="00F52436"/>
    <w:rsid w:val="00F6302B"/>
    <w:rsid w:val="00F631C6"/>
    <w:rsid w:val="00F67983"/>
    <w:rsid w:val="00F743DE"/>
    <w:rsid w:val="00F77E71"/>
    <w:rsid w:val="00F83A3A"/>
    <w:rsid w:val="00F8695B"/>
    <w:rsid w:val="00FA0F74"/>
    <w:rsid w:val="00FB1E6B"/>
    <w:rsid w:val="00FB7877"/>
    <w:rsid w:val="00FE290C"/>
    <w:rsid w:val="00FE3E17"/>
    <w:rsid w:val="00FF253E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55A8B"/>
  <w15:chartTrackingRefBased/>
  <w15:docId w15:val="{AECF8F1B-49F1-4EE6-81F5-71C41B1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0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42"/>
  </w:style>
  <w:style w:type="paragraph" w:styleId="Footer">
    <w:name w:val="footer"/>
    <w:basedOn w:val="Normal"/>
    <w:link w:val="FooterChar"/>
    <w:uiPriority w:val="99"/>
    <w:unhideWhenUsed/>
    <w:rsid w:val="007B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42"/>
  </w:style>
  <w:style w:type="table" w:styleId="TableGrid">
    <w:name w:val="Table Grid"/>
    <w:basedOn w:val="TableNormal"/>
    <w:uiPriority w:val="39"/>
    <w:rsid w:val="003676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0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3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henytrust.org/wp-content/uploads/2026/06/Q1-2026-Investment-returns-by-composite.pdf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institutional.vanguard.com/investments/product-details/fund/051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titutional.vanguard.com/investments/product-details/fund/005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stitutional.vanguard.com/investments/product-details/fund/0724" TargetMode="External"/><Relationship Id="rId4" Type="http://schemas.openxmlformats.org/officeDocument/2006/relationships/styles" Target="styles.xml"/><Relationship Id="rId9" Type="http://schemas.openxmlformats.org/officeDocument/2006/relationships/hyperlink" Target="https://institutional.vanguard.com/investments/product-details/fund/003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i\Downloads\NYC%20Offic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227af-94f1-4b79-8f10-bbdd70aba13e">
      <Terms xmlns="http://schemas.microsoft.com/office/infopath/2007/PartnerControls"/>
    </lcf76f155ced4ddcb4097134ff3c332f>
    <TaxCatchAll xmlns="e1211a31-cf13-4ab2-a8b0-63bee87ba2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47106B2C33541B0B779051AD629C3" ma:contentTypeVersion="14" ma:contentTypeDescription="Create a new document." ma:contentTypeScope="" ma:versionID="d09c81adc1e49396e003a1b919e765ac">
  <xsd:schema xmlns:xsd="http://www.w3.org/2001/XMLSchema" xmlns:xs="http://www.w3.org/2001/XMLSchema" xmlns:p="http://schemas.microsoft.com/office/2006/metadata/properties" xmlns:ns2="6b5227af-94f1-4b79-8f10-bbdd70aba13e" xmlns:ns3="e1211a31-cf13-4ab2-a8b0-63bee87ba220" targetNamespace="http://schemas.microsoft.com/office/2006/metadata/properties" ma:root="true" ma:fieldsID="0c18edb663403a4a74815e60ed29856a" ns2:_="" ns3:_="">
    <xsd:import namespace="6b5227af-94f1-4b79-8f10-bbdd70aba13e"/>
    <xsd:import namespace="e1211a31-cf13-4ab2-a8b0-63bee87ba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27af-94f1-4b79-8f10-bbdd70aba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2c7a3a-81d3-4e77-82e6-90e17317b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11a31-cf13-4ab2-a8b0-63bee87ba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9cf785-912f-4b0e-9ca1-1ebe8632f981}" ma:internalName="TaxCatchAll" ma:showField="CatchAllData" ma:web="e1211a31-cf13-4ab2-a8b0-63bee87ba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7E0CA-AE41-4F9D-8C9A-75ABD60C8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66360-5BFF-4A13-9CC4-E0FFFFEF7C4B}">
  <ds:schemaRefs>
    <ds:schemaRef ds:uri="http://schemas.microsoft.com/office/2006/metadata/properties"/>
    <ds:schemaRef ds:uri="http://schemas.microsoft.com/office/infopath/2007/PartnerControls"/>
    <ds:schemaRef ds:uri="6b5227af-94f1-4b79-8f10-bbdd70aba13e"/>
    <ds:schemaRef ds:uri="e1211a31-cf13-4ab2-a8b0-63bee87ba220"/>
  </ds:schemaRefs>
</ds:datastoreItem>
</file>

<file path=customXml/itemProps3.xml><?xml version="1.0" encoding="utf-8"?>
<ds:datastoreItem xmlns:ds="http://schemas.openxmlformats.org/officeDocument/2006/customXml" ds:itemID="{AC924CEE-7E8C-48F2-BA30-5B94C76AA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227af-94f1-4b79-8f10-bbdd70aba13e"/>
    <ds:schemaRef ds:uri="e1211a31-cf13-4ab2-a8b0-63bee87ba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NYC Office Letterhead</Template>
  <TotalTime>101</TotalTime>
  <Pages>3</Pages>
  <Words>763</Words>
  <Characters>3942</Characters>
  <Application>Microsoft Office Word</Application>
  <DocSecurity>0</DocSecurity>
  <Lines>231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Links>
    <vt:vector size="30" baseType="variant">
      <vt:variant>
        <vt:i4>6750318</vt:i4>
      </vt:variant>
      <vt:variant>
        <vt:i4>12</vt:i4>
      </vt:variant>
      <vt:variant>
        <vt:i4>0</vt:i4>
      </vt:variant>
      <vt:variant>
        <vt:i4>5</vt:i4>
      </vt:variant>
      <vt:variant>
        <vt:lpwstr>https://thenytrust.org/wp-content/uploads/2025/04/2025-3-31-CFI-Pool-Website-Report.pdf</vt:lpwstr>
      </vt:variant>
      <vt:variant>
        <vt:lpwstr/>
      </vt:variant>
      <vt:variant>
        <vt:i4>983058</vt:i4>
      </vt:variant>
      <vt:variant>
        <vt:i4>9</vt:i4>
      </vt:variant>
      <vt:variant>
        <vt:i4>0</vt:i4>
      </vt:variant>
      <vt:variant>
        <vt:i4>5</vt:i4>
      </vt:variant>
      <vt:variant>
        <vt:lpwstr>https://institutional.vanguard.com/investments/product-details/fund/0513</vt:lpwstr>
      </vt:variant>
      <vt:variant>
        <vt:lpwstr/>
      </vt:variant>
      <vt:variant>
        <vt:i4>983062</vt:i4>
      </vt:variant>
      <vt:variant>
        <vt:i4>6</vt:i4>
      </vt:variant>
      <vt:variant>
        <vt:i4>0</vt:i4>
      </vt:variant>
      <vt:variant>
        <vt:i4>5</vt:i4>
      </vt:variant>
      <vt:variant>
        <vt:lpwstr>https://institutional.vanguard.com/investments/product-details/fund/0056</vt:lpwstr>
      </vt:variant>
      <vt:variant>
        <vt:lpwstr/>
      </vt:variant>
      <vt:variant>
        <vt:i4>655377</vt:i4>
      </vt:variant>
      <vt:variant>
        <vt:i4>3</vt:i4>
      </vt:variant>
      <vt:variant>
        <vt:i4>0</vt:i4>
      </vt:variant>
      <vt:variant>
        <vt:i4>5</vt:i4>
      </vt:variant>
      <vt:variant>
        <vt:lpwstr>https://institutional.vanguard.com/investments/product-details/fund/0724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https://institutional.vanguard.com/investments/product-details/fund/0033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Liang</dc:creator>
  <cp:keywords/>
  <dc:description/>
  <cp:lastModifiedBy>Zharia George</cp:lastModifiedBy>
  <cp:revision>29</cp:revision>
  <cp:lastPrinted>2026-03-31T15:29:00Z</cp:lastPrinted>
  <dcterms:created xsi:type="dcterms:W3CDTF">2026-06-10T20:13:00Z</dcterms:created>
  <dcterms:modified xsi:type="dcterms:W3CDTF">2026-06-24T19:02:00Z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050f0192-6436-43a4-a1db-f581c5eff756</vt:lpwstr>
  </property>
  <property fmtid="{D5CDD505-2E9C-101B-9397-08002B2CF9AE}" pid="3" name="ContentTypeId">
    <vt:lpwstr>0x0101009D847106B2C33541B0B779051AD629C3</vt:lpwstr>
  </property>
  <property fmtid="{D5CDD505-2E9C-101B-9397-08002B2CF9AE}" pid="4" name="MediaServiceImageTags">
    <vt:lpwstr/>
  </property>
</Properties>
</file>